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drawing>
          <wp:anchor distT="0" distB="0" distL="114300" distR="114300" simplePos="0" relativeHeight="125829378" behindDoc="0" locked="0" layoutInCell="1" allowOverlap="1">
            <wp:simplePos x="0" y="0"/>
            <wp:positionH relativeFrom="page">
              <wp:posOffset>570230</wp:posOffset>
            </wp:positionH>
            <wp:positionV relativeFrom="paragraph">
              <wp:posOffset>79375</wp:posOffset>
            </wp:positionV>
            <wp:extent cx="768350" cy="841375"/>
            <wp:wrapSquare wrapText="right"/>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768350" cy="841375"/>
                    </a:xfrm>
                    <a:prstGeom prst="rect"/>
                  </pic:spPr>
                </pic:pic>
              </a:graphicData>
            </a:graphic>
          </wp:anchor>
        </w:drawing>
      </w:r>
      <w:r>
        <w:drawing>
          <wp:anchor distT="0" distB="0" distL="114300" distR="114300" simplePos="0" relativeHeight="125829379" behindDoc="0" locked="0" layoutInCell="1" allowOverlap="1">
            <wp:simplePos x="0" y="0"/>
            <wp:positionH relativeFrom="page">
              <wp:posOffset>6468110</wp:posOffset>
            </wp:positionH>
            <wp:positionV relativeFrom="paragraph">
              <wp:posOffset>12700</wp:posOffset>
            </wp:positionV>
            <wp:extent cx="725170" cy="914400"/>
            <wp:wrapSquare wrapText="left"/>
            <wp:docPr id="3" name="SHAPE 3"/>
            <a:graphic xmlns:a="http://schemas.openxmlformats.org/drawingml/2006/main">
              <a:graphicData uri="http://schemas.openxmlformats.org/drawingml/2006/picture">
                <pic:pic xmlns:pic="http://schemas.openxmlformats.org/drawingml/2006/picture">
                  <pic:nvPicPr>
                    <pic:cNvPr id="4" name="Picture box 4"/>
                    <pic:cNvPicPr/>
                  </pic:nvPicPr>
                  <pic:blipFill>
                    <a:blip r:embed="rId7"/>
                    <a:stretch/>
                  </pic:blipFill>
                  <pic:spPr>
                    <a:xfrm>
                      <a:ext cx="725170" cy="914400"/>
                    </a:xfrm>
                    <a:prstGeom prst="rect"/>
                  </pic:spPr>
                </pic:pic>
              </a:graphicData>
            </a:graphic>
          </wp:anchor>
        </w:drawing>
      </w:r>
      <w:r>
        <mc:AlternateContent>
          <mc:Choice Requires="wps">
            <w:drawing>
              <wp:anchor distT="0" distB="0" distL="114300" distR="114300" simplePos="0" relativeHeight="125829380" behindDoc="0" locked="0" layoutInCell="1" allowOverlap="1">
                <wp:simplePos x="0" y="0"/>
                <wp:positionH relativeFrom="page">
                  <wp:posOffset>2654935</wp:posOffset>
                </wp:positionH>
                <wp:positionV relativeFrom="paragraph">
                  <wp:posOffset>3520440</wp:posOffset>
                </wp:positionV>
                <wp:extent cx="755650" cy="176530"/>
                <wp:wrapSquare wrapText="left"/>
                <wp:docPr id="5" name="SHAPE 5"/>
                <a:graphic xmlns:a="http://schemas.openxmlformats.org/drawingml/2006/main">
                  <a:graphicData uri="http://schemas.microsoft.com/office/word/2010/wordprocessingShape">
                    <wps:wsp>
                      <wps:cNvSpPr txBox="1"/>
                      <wps:spPr>
                        <a:xfrm>
                          <a:ext cx="755650" cy="176530"/>
                        </a:xfrm>
                        <a:prstGeom prst="rect"/>
                        <a:noFill/>
                      </wps:spPr>
                      <wps:txbx>
                        <w:txbxContent>
                          <w:p>
                            <w:pPr>
                              <w:pStyle w:val="Style2"/>
                              <w:keepNext w:val="0"/>
                              <w:keepLines w:val="0"/>
                              <w:widowControl w:val="0"/>
                              <w:shd w:val="clear" w:color="auto" w:fill="auto"/>
                              <w:spacing w:before="0" w:after="0" w:line="240" w:lineRule="auto"/>
                              <w:ind w:left="0" w:right="0" w:firstLine="0"/>
                              <w:jc w:val="left"/>
                              <w:rPr>
                                <w:sz w:val="13"/>
                              </w:rPr>
                            </w:pPr>
                            <w:r>
                              <w:rPr>
                                <w:rStyle w:val="CharStyle3"/>
                                <w:sz w:val="13"/>
                              </w:rPr>
                              <w:t>ABSTRACT</w:t>
                            </w:r>
                          </w:p>
                        </w:txbxContent>
                      </wps:txbx>
                      <wps:bodyPr wrap="none" lIns="0" tIns="0" rIns="0" bIns="0">
                        <a:noAutoFit/>
                      </wps:bodyPr>
                    </wps:wsp>
                  </a:graphicData>
                </a:graphic>
              </wp:anchor>
            </w:drawing>
          </mc:Choice>
        </mc:AlternateContent>
      </w:r>
      <w:r>
        <mc:AlternateContent>
          <mc:Choice Requires="wps">
            <w:drawing>
              <wp:anchor distT="0" distB="0" distL="114300" distR="114300" simplePos="0" relativeHeight="125829382" behindDoc="0" locked="0" layoutInCell="1" allowOverlap="1">
                <wp:simplePos x="0" y="0"/>
                <wp:positionH relativeFrom="page">
                  <wp:posOffset>567055</wp:posOffset>
                </wp:positionH>
                <wp:positionV relativeFrom="paragraph">
                  <wp:posOffset>3767455</wp:posOffset>
                </wp:positionV>
                <wp:extent cx="926465" cy="704215"/>
                <wp:wrapSquare wrapText="bothSides"/>
                <wp:docPr id="7" name="SHAPE 7"/>
                <a:graphic xmlns:a="http://schemas.openxmlformats.org/drawingml/2006/main">
                  <a:graphicData uri="http://schemas.microsoft.com/office/word/2010/wordprocessingShape">
                    <wps:wsp>
                      <wps:cNvSpPr txBox="1"/>
                      <wps:spPr>
                        <a:xfrm>
                          <a:ext cx="926465" cy="704215"/>
                        </a:xfrm>
                        <a:prstGeom prst="rect"/>
                        <a:noFill/>
                      </wps:spPr>
                      <wps:txbx>
                        <w:txbxContent>
                          <w:p>
                            <w:pPr>
                              <w:pStyle w:val="Style2"/>
                              <w:keepNext w:val="0"/>
                              <w:keepLines w:val="0"/>
                              <w:widowControl w:val="0"/>
                              <w:pBdr>
                                <w:top w:val="single" w:sz="4" w:space="0" w:color="auto"/>
                              </w:pBdr>
                              <w:shd w:val="clear" w:color="auto" w:fill="auto"/>
                              <w:spacing w:before="0" w:after="0" w:line="300" w:lineRule="auto"/>
                              <w:ind w:left="0" w:right="0" w:firstLine="0"/>
                              <w:jc w:val="both"/>
                            </w:pPr>
                            <w:r>
                              <w:rPr>
                                <w:rStyle w:val="CharStyle3"/>
                                <w:i/>
                              </w:rPr>
                              <w:t>Keywords:</w:t>
                            </w:r>
                          </w:p>
                          <w:p>
                            <w:pPr>
                              <w:pStyle w:val="Style2"/>
                              <w:keepNext w:val="0"/>
                              <w:keepLines w:val="0"/>
                              <w:widowControl w:val="0"/>
                              <w:shd w:val="clear" w:color="auto" w:fill="auto"/>
                              <w:spacing w:before="0" w:after="0" w:line="300" w:lineRule="auto"/>
                              <w:ind w:left="0" w:right="0" w:firstLine="0"/>
                              <w:jc w:val="left"/>
                            </w:pPr>
                            <w:r>
                              <w:rPr>
                                <w:rStyle w:val="CharStyle3"/>
                              </w:rPr>
                              <w:t xml:space="preserve">Seal-fishery conflict Optimal population size Management institutions Socio-economic</w:t>
                            </w:r>
                          </w:p>
                          <w:p>
                            <w:pPr>
                              <w:pStyle w:val="Style2"/>
                              <w:keepNext w:val="0"/>
                              <w:keepLines w:val="0"/>
                              <w:widowControl w:val="0"/>
                              <w:shd w:val="clear" w:color="auto" w:fill="auto"/>
                              <w:spacing w:before="0" w:after="0" w:line="300" w:lineRule="auto"/>
                              <w:ind w:left="0" w:right="0" w:firstLine="0"/>
                              <w:jc w:val="left"/>
                            </w:pPr>
                            <w:r>
                              <w:rPr>
                                <w:rStyle w:val="CharStyle3"/>
                              </w:rPr>
                              <w:t xml:space="preserve">Baltic Sea</w:t>
                            </w:r>
                          </w:p>
                        </w:txbxContent>
                      </wps:txbx>
                      <wps:bodyPr lIns="0" tIns="0" rIns="0" bIns="0">
                        <a:noAutoFit/>
                      </wps:bodyPr>
                    </wps:wsp>
                  </a:graphicData>
                </a:graphic>
              </wp:anchor>
            </w:drawing>
          </mc:Choice>
        </mc:AlternateContent>
      </w:r>
    </w:p>
    <w:p>
      <w:pPr>
        <w:pStyle w:val="Style6"/>
        <w:keepNext w:val="0"/>
        <w:keepLines w:val="0"/>
        <w:widowControl w:val="0"/>
        <w:pBdr>
          <w:top w:val="single" w:sz="0" w:space="0" w:color="E7E7E7"/>
          <w:left w:val="single" w:sz="0" w:space="0" w:color="E7E7E7"/>
          <w:bottom w:val="single" w:sz="0" w:space="3" w:color="E7E7E7"/>
          <w:right w:val="single" w:sz="0" w:space="0" w:color="E7E7E7"/>
        </w:pBdr>
        <w:shd w:val="clear" w:color="auto" w:fill="E7E7E7"/>
        <w:spacing w:before="0" w:after="180" w:line="240" w:lineRule="auto"/>
        <w:ind w:left="0" w:right="0" w:firstLine="0"/>
        <w:jc w:val="center"/>
      </w:pPr>
      <w:r>
        <w:rPr>
          <w:rStyle w:val="CharStyle7"/>
        </w:rPr>
        <w:t xml:space="preserve">Content lists available at </w:t>
      </w:r>
      <w:r>
        <w:fldChar w:fldCharType="begin"/>
      </w:r>
      <w:r>
        <w:rPr/>
        <w:instrText> HYPERLINK "http://www.sciencedirect.com/science/journal/0308597X" </w:instrText>
      </w:r>
      <w:r>
        <w:fldChar w:fldCharType="separate"/>
      </w:r>
      <w:r>
        <w:rPr>
          <w:rStyle w:val="CharStyle7"/>
          <w:color w:val="2196D1"/>
        </w:rPr>
        <w:t>ScienceDirect</w:t>
      </w:r>
      <w:r>
        <w:fldChar w:fldCharType="end"/>
      </w:r>
    </w:p>
    <w:p>
      <w:pPr>
        <w:pStyle w:val="Style12"/>
        <w:keepNext w:val="0"/>
        <w:keepLines w:val="0"/>
        <w:widowControl w:val="0"/>
        <w:pBdr>
          <w:top w:val="single" w:sz="0" w:space="0" w:color="E7E7E7"/>
          <w:left w:val="single" w:sz="0" w:space="0" w:color="E7E7E7"/>
          <w:bottom w:val="single" w:sz="0" w:space="3" w:color="E7E7E7"/>
          <w:right w:val="single" w:sz="0" w:space="0" w:color="E7E7E7"/>
        </w:pBdr>
        <w:shd w:val="clear" w:color="auto" w:fill="E7E7E7"/>
        <w:spacing w:before="0" w:after="367" w:line="240" w:lineRule="auto"/>
        <w:ind w:left="0" w:right="0" w:firstLine="0"/>
        <w:jc w:val="center"/>
        <w:rPr>
          <w:sz w:val="26"/>
        </w:rPr>
      </w:pPr>
      <w:r>
        <w:rPr>
          <w:rStyle w:val="CharStyle13"/>
          <w:sz w:val="26"/>
        </w:rPr>
        <w:t xml:space="preserve">Marine Policy</w:t>
      </w:r>
    </w:p>
    <w:p>
      <w:pPr>
        <w:pStyle w:val="Style6"/>
        <w:keepNext w:val="0"/>
        <w:keepLines w:val="0"/>
        <w:widowControl w:val="0"/>
        <w:pBdr>
          <w:top w:val="single" w:sz="4" w:space="0" w:color="E7E7E7"/>
          <w:left w:val="single" w:sz="4" w:space="0" w:color="E7E7E7"/>
          <w:bottom w:val="single" w:sz="4" w:space="3" w:color="E7E7E7"/>
          <w:right w:val="single" w:sz="4" w:space="0" w:color="E7E7E7"/>
        </w:pBdr>
        <w:shd w:val="clear" w:color="auto" w:fill="E7E7E7"/>
        <w:spacing w:before="0" w:after="267" w:line="240" w:lineRule="auto"/>
        <w:ind w:left="0" w:right="0" w:firstLine="0"/>
        <w:jc w:val="center"/>
        <w:rPr>
          <w:sz w:val="14"/>
        </w:rPr>
      </w:pPr>
      <w:r>
        <w:rPr>
          <w:rStyle w:val="CharStyle7"/>
          <w:sz w:val="14"/>
        </w:rPr>
        <w:t xml:space="preserve">Journal homepage: </w:t>
      </w:r>
      <w:r>
        <w:fldChar w:fldCharType="begin"/>
      </w:r>
      <w:r>
        <w:rPr/>
        <w:instrText> HYPERLINK "https://www.elsevier.com/locate/marpol" </w:instrText>
      </w:r>
      <w:r>
        <w:fldChar w:fldCharType="separate"/>
      </w:r>
      <w:r>
        <w:rPr>
          <w:rStyle w:val="CharStyle7"/>
          <w:color w:val="2196D1"/>
          <w:sz w:val="14"/>
        </w:rPr>
        <w:t>www.elsevier.com/locate/marpol</w:t>
      </w:r>
      <w:r>
        <w:fldChar w:fldCharType="end"/>
      </w:r>
    </w:p>
    <w:p>
      <w:pPr>
        <w:pStyle w:val="Style12"/>
        <w:keepNext w:val="0"/>
        <w:keepLines w:val="0"/>
        <w:widowControl w:val="0"/>
        <w:shd w:val="clear" w:color="auto" w:fill="auto"/>
        <w:spacing w:before="0" w:after="80" w:line="319" w:lineRule="auto"/>
        <w:ind w:left="0" w:right="0" w:firstLine="0"/>
        <w:jc w:val="left"/>
        <w:rPr>
          <w:sz w:val="17"/>
        </w:rPr>
      </w:pPr>
      <w:r>
        <w:rPr>
          <w:rStyle w:val="CharStyle13"/>
          <w:sz w:val="17"/>
        </w:rPr>
        <w:t xml:space="preserve">Full length article</w:t>
      </w:r>
    </w:p>
    <w:p>
      <w:pPr>
        <w:pStyle w:val="Style18"/>
        <w:keepNext/>
        <w:keepLines/>
        <w:widowControl w:val="0"/>
        <w:shd w:val="clear" w:color="auto" w:fill="auto"/>
        <w:spacing w:before="0"/>
        <w:ind w:left="0" w:right="0" w:firstLine="0"/>
        <w:jc w:val="left"/>
      </w:pPr>
      <w:bookmarkStart w:id="0" w:name="bookmark0"/>
      <w:r>
        <w:rPr>
          <w:rStyle w:val="CharStyle19"/>
        </w:rPr>
        <w:t xml:space="preserve">Assessing the management criteria of growing seal populations: The case of Baltic grey seal and coastal fishery</w:t>
      </w:r>
      <w:bookmarkEnd w:id="0"/>
    </w:p>
    <w:p>
      <w:pPr>
        <w:pStyle w:val="Style12"/>
        <w:keepNext w:val="0"/>
        <w:keepLines w:val="0"/>
        <w:widowControl w:val="0"/>
        <w:shd w:val="clear" w:color="auto" w:fill="auto"/>
        <w:spacing w:before="0" w:after="80" w:line="286" w:lineRule="auto"/>
        <w:ind w:left="0" w:right="0" w:firstLine="0"/>
        <w:jc w:val="left"/>
        <w:rPr>
          <w:sz w:val="19"/>
        </w:rPr>
      </w:pPr>
      <w:r>
        <w:rPr>
          <w:rStyle w:val="CharStyle13"/>
          <w:sz w:val="19"/>
        </w:rPr>
        <w:t xml:space="preserve">Petri Suuronen</w:t>
      </w:r>
      <w:hyperlink w:anchor="bookmark2" w:tooltip="Current Document">
        <w:r>
          <w:rPr>
            <w:rStyle w:val="CharStyle13"/>
            <w:color w:val="2196D1"/>
            <w:sz w:val="19"/>
            <w:vertAlign w:val="superscript"/>
          </w:rPr>
          <w:t>a</w:t>
        </w:r>
        <w:r>
          <w:rPr>
            <w:rStyle w:val="CharStyle13"/>
            <w:sz w:val="19"/>
            <w:vertAlign w:val="superscript"/>
          </w:rPr>
          <w:t>,</w:t>
        </w:r>
      </w:hyperlink>
      <w:hyperlink w:anchor="bookmark11" w:tooltip="Current Document">
        <w:r>
          <w:rPr>
            <w:rStyle w:val="CharStyle13"/>
            <w:color w:val="2196D1"/>
            <w:sz w:val="19"/>
            <w:vertAlign w:val="superscript"/>
          </w:rPr>
          <w:t xml:space="preserve">1, Sven-Gunnar Lunneryd </w:t>
        </w:r>
      </w:hyperlink>
      <w:hyperlink w:anchor="bookmark3" w:tooltip="Current Document">
        <w:r>
          <w:rPr>
            <w:rStyle w:val="CharStyle13"/>
            <w:color w:val="2196D1"/>
            <w:sz w:val="19"/>
            <w:vertAlign w:val="superscript"/>
          </w:rPr>
          <w:t xml:space="preserve">b, Sara Ko ̈ nigson b, Nelson F. Coelho </w:t>
        </w:r>
      </w:hyperlink>
      <w:hyperlink w:anchor="bookmark4" w:tooltip="Current Document">
        <w:r>
          <w:rPr>
            <w:rStyle w:val="CharStyle13"/>
            <w:color w:val="2196D1"/>
            <w:sz w:val="19"/>
            <w:vertAlign w:val="superscript"/>
          </w:rPr>
          <w:t xml:space="preserve">c, Åsa Waldo </w:t>
        </w:r>
      </w:hyperlink>
      <w:hyperlink w:anchor="bookmark5" w:tooltip="Current Document">
        <w:r>
          <w:rPr>
            <w:rStyle w:val="CharStyle13"/>
            <w:color w:val="2196D1"/>
            <w:sz w:val="19"/>
            <w:vertAlign w:val="superscript"/>
          </w:rPr>
          <w:t>d,</w:t>
        </w:r>
      </w:hyperlink>
      <w:r>
        <w:rPr>
          <w:rStyle w:val="CharStyle13"/>
          <w:sz w:val="19"/>
        </w:rPr>
        <w:t xml:space="preserve"> Viktor Eriksson </w:t>
      </w:r>
      <w:hyperlink w:anchor="bookmark6" w:tooltip="Current Document">
        <w:r>
          <w:rPr>
            <w:rStyle w:val="CharStyle13"/>
            <w:color w:val="2196D1"/>
            <w:sz w:val="19"/>
            <w:vertAlign w:val="superscript"/>
          </w:rPr>
          <w:t xml:space="preserve">e, Kristina Svels </w:t>
        </w:r>
      </w:hyperlink>
      <w:hyperlink w:anchor="bookmark7" w:tooltip="Current Document">
        <w:r>
          <w:rPr>
            <w:rStyle w:val="CharStyle13"/>
            <w:color w:val="2196D1"/>
            <w:sz w:val="19"/>
            <w:vertAlign w:val="superscript"/>
          </w:rPr>
          <w:t>f</w:t>
        </w:r>
        <w:r>
          <w:rPr>
            <w:rStyle w:val="CharStyle13"/>
            <w:sz w:val="19"/>
            <w:vertAlign w:val="superscript"/>
          </w:rPr>
          <w:t>,</w:t>
        </w:r>
      </w:hyperlink>
      <w:hyperlink w:anchor="bookmark10" w:tooltip="Current Document">
        <w:r>
          <w:rPr>
            <w:rStyle w:val="CharStyle13"/>
            <w:color w:val="2196D1"/>
            <w:sz w:val="19"/>
            <w:vertAlign w:val="superscript"/>
          </w:rPr>
          <w:t xml:space="preserve">*, Esa Lehtonen </w:t>
        </w:r>
      </w:hyperlink>
      <w:hyperlink w:anchor="bookmark2" w:tooltip="Current Document">
        <w:r>
          <w:rPr>
            <w:rStyle w:val="CharStyle13"/>
            <w:color w:val="2196D1"/>
            <w:sz w:val="19"/>
            <w:vertAlign w:val="superscript"/>
          </w:rPr>
          <w:t xml:space="preserve">a, Iwona Psuty </w:t>
        </w:r>
      </w:hyperlink>
      <w:hyperlink w:anchor="bookmark8" w:tooltip="Current Document">
        <w:r>
          <w:rPr>
            <w:rStyle w:val="CharStyle13"/>
            <w:color w:val="2196D1"/>
            <w:sz w:val="19"/>
            <w:vertAlign w:val="superscript"/>
          </w:rPr>
          <w:t xml:space="preserve">g, Markus Vetemaa </w:t>
        </w:r>
      </w:hyperlink>
      <w:hyperlink w:anchor="bookmark9" w:tooltip="Current Document">
        <w:r>
          <w:rPr>
            <w:rStyle w:val="CharStyle13"/>
            <w:color w:val="2196D1"/>
            <w:sz w:val="19"/>
            <w:vertAlign w:val="superscript"/>
          </w:rPr>
          <w:t>h</w:t>
        </w:r>
      </w:hyperlink>
    </w:p>
    <w:p>
      <w:pPr>
        <w:pStyle w:val="Style2"/>
        <w:keepNext w:val="0"/>
        <w:keepLines w:val="0"/>
        <w:widowControl w:val="0"/>
        <w:shd w:val="clear" w:color="auto" w:fill="auto"/>
        <w:spacing w:before="0" w:after="0" w:line="240" w:lineRule="auto"/>
        <w:ind w:left="0" w:right="0" w:firstLine="0"/>
        <w:jc w:val="left"/>
      </w:pPr>
      <w:bookmarkStart w:id="2" w:name="bookmark2"/>
      <w:r>
        <w:rPr>
          <w:rStyle w:val="CharStyle3"/>
          <w:vertAlign w:val="superscript"/>
        </w:rPr>
        <w:t>a</w:t>
      </w:r>
      <w:r>
        <w:rPr>
          <w:rStyle w:val="CharStyle3"/>
        </w:rPr>
        <w:t xml:space="preserve"> </w:t>
      </w:r>
      <w:r>
        <w:rPr>
          <w:rStyle w:val="CharStyle3"/>
          <w:i/>
        </w:rPr>
        <w:t xml:space="preserve">Natural Resources Institute Finland, Latokartanonkaari 9, 00790 Helsinki, Finland</w:t>
      </w:r>
      <w:bookmarkEnd w:id="2"/>
    </w:p>
    <w:p>
      <w:pPr>
        <w:pStyle w:val="Style2"/>
        <w:keepNext w:val="0"/>
        <w:keepLines w:val="0"/>
        <w:widowControl w:val="0"/>
        <w:shd w:val="clear" w:color="auto" w:fill="auto"/>
        <w:spacing w:before="0" w:after="0" w:line="240" w:lineRule="auto"/>
        <w:ind w:left="0" w:right="0" w:firstLine="0"/>
        <w:jc w:val="left"/>
      </w:pPr>
      <w:bookmarkStart w:id="3" w:name="bookmark3"/>
      <w:bookmarkStart w:id="4" w:name="bookmark4"/>
      <w:r>
        <w:rPr>
          <w:rStyle w:val="CharStyle3"/>
          <w:vertAlign w:val="superscript"/>
        </w:rPr>
        <w:t>b</w:t>
      </w:r>
      <w:r>
        <w:rPr>
          <w:rStyle w:val="CharStyle3"/>
        </w:rPr>
        <w:t xml:space="preserve"> </w:t>
      </w:r>
      <w:r>
        <w:rPr>
          <w:rStyle w:val="CharStyle3"/>
          <w:i/>
        </w:rPr>
        <w:t xml:space="preserve">Department of Aquatic Resources, Swedish University of Agricultural Sciences, Turistgr. 5, 45330 Lysekil, Sweden</w:t>
      </w:r>
      <w:bookmarkEnd w:id="3"/>
      <w:bookmarkEnd w:id="4"/>
    </w:p>
    <w:p>
      <w:pPr>
        <w:pStyle w:val="Style2"/>
        <w:keepNext w:val="0"/>
        <w:keepLines w:val="0"/>
        <w:widowControl w:val="0"/>
        <w:shd w:val="clear" w:color="auto" w:fill="auto"/>
        <w:spacing w:before="0" w:after="0" w:line="240" w:lineRule="auto"/>
        <w:ind w:left="0" w:right="0" w:firstLine="0"/>
        <w:jc w:val="left"/>
      </w:pPr>
      <w:r>
        <w:rPr>
          <w:rStyle w:val="CharStyle3"/>
          <w:vertAlign w:val="superscript"/>
        </w:rPr>
        <w:t>c</w:t>
      </w:r>
      <w:r>
        <w:rPr>
          <w:rStyle w:val="CharStyle3"/>
        </w:rPr>
        <w:t xml:space="preserve"> </w:t>
      </w:r>
      <w:r>
        <w:rPr>
          <w:rStyle w:val="CharStyle3"/>
          <w:i/>
        </w:rPr>
        <w:t xml:space="preserve">Aalborg University, Centre for Blue Governance, Rendsburggade 14, 9000 Aalborg, Denmark</w:t>
      </w:r>
    </w:p>
    <w:p>
      <w:pPr>
        <w:pStyle w:val="Style2"/>
        <w:keepNext w:val="0"/>
        <w:keepLines w:val="0"/>
        <w:widowControl w:val="0"/>
        <w:shd w:val="clear" w:color="auto" w:fill="auto"/>
        <w:spacing w:before="0" w:after="0" w:line="240" w:lineRule="auto"/>
        <w:ind w:left="0" w:right="0" w:firstLine="0"/>
        <w:jc w:val="left"/>
      </w:pPr>
      <w:bookmarkStart w:id="5" w:name="bookmark5"/>
      <w:r>
        <w:rPr>
          <w:rStyle w:val="CharStyle3"/>
          <w:vertAlign w:val="superscript"/>
        </w:rPr>
        <w:t>D</w:t>
      </w:r>
      <w:r>
        <w:rPr>
          <w:rStyle w:val="CharStyle3"/>
        </w:rPr>
        <w:t xml:space="preserve"> </w:t>
      </w:r>
      <w:r>
        <w:rPr>
          <w:rStyle w:val="CharStyle3"/>
          <w:i/>
        </w:rPr>
        <w:t xml:space="preserve">Lund University, Department of Architecture and Built Environment, Environmental Psychology, PO Box 118, Lund 22100, Sweden</w:t>
      </w:r>
      <w:bookmarkEnd w:id="5"/>
    </w:p>
    <w:p>
      <w:pPr>
        <w:pStyle w:val="Style2"/>
        <w:keepNext w:val="0"/>
        <w:keepLines w:val="0"/>
        <w:widowControl w:val="0"/>
        <w:shd w:val="clear" w:color="auto" w:fill="auto"/>
        <w:spacing w:before="0" w:after="0" w:line="240" w:lineRule="auto"/>
        <w:ind w:left="0" w:right="0" w:firstLine="0"/>
        <w:jc w:val="left"/>
      </w:pPr>
      <w:bookmarkStart w:id="6" w:name="bookmark6"/>
      <w:r>
        <w:rPr>
          <w:rStyle w:val="CharStyle3"/>
          <w:vertAlign w:val="superscript"/>
        </w:rPr>
        <w:t>e</w:t>
      </w:r>
      <w:r>
        <w:rPr>
          <w:rStyle w:val="CharStyle3"/>
        </w:rPr>
        <w:t xml:space="preserve"> </w:t>
      </w:r>
      <w:r>
        <w:rPr>
          <w:rStyle w:val="CharStyle3"/>
          <w:i/>
        </w:rPr>
        <w:t xml:space="preserve">Archipelago Pares r.f., Åsva</w:t>
      </w:r>
      <w:r>
        <w:rPr>
          <w:rStyle w:val="CharStyle3"/>
          <w:sz w:val="11"/>
        </w:rPr>
        <w:t xml:space="preserve"> ̈</w:t>
      </w:r>
      <w:r>
        <w:rPr>
          <w:rStyle w:val="CharStyle3"/>
          <w:i/>
        </w:rPr>
        <w:t xml:space="preserve">gen 45, 22630 Lumparland, Åland Islands, Finland</w:t>
      </w:r>
      <w:bookmarkEnd w:id="6"/>
    </w:p>
    <w:p>
      <w:pPr>
        <w:pStyle w:val="Style2"/>
        <w:keepNext w:val="0"/>
        <w:keepLines w:val="0"/>
        <w:widowControl w:val="0"/>
        <w:shd w:val="clear" w:color="auto" w:fill="auto"/>
        <w:spacing w:before="0" w:after="0" w:line="240" w:lineRule="auto"/>
        <w:ind w:left="0" w:right="0" w:firstLine="0"/>
        <w:jc w:val="left"/>
      </w:pPr>
      <w:bookmarkStart w:id="7" w:name="bookmark7"/>
      <w:bookmarkStart w:id="8" w:name="bookmark8"/>
      <w:r>
        <w:rPr>
          <w:rStyle w:val="CharStyle3"/>
          <w:vertAlign w:val="superscript"/>
        </w:rPr>
        <w:t>f</w:t>
      </w:r>
      <w:r>
        <w:rPr>
          <w:rStyle w:val="CharStyle3"/>
        </w:rPr>
        <w:t xml:space="preserve"> </w:t>
      </w:r>
      <w:r>
        <w:rPr>
          <w:rStyle w:val="CharStyle3"/>
          <w:i/>
        </w:rPr>
        <w:t xml:space="preserve">Natural Resources Institute Finland, Ita</w:t>
      </w:r>
      <w:r>
        <w:rPr>
          <w:rStyle w:val="CharStyle3"/>
          <w:sz w:val="11"/>
        </w:rPr>
        <w:t xml:space="preserve"> ̈</w:t>
      </w:r>
      <w:r>
        <w:rPr>
          <w:rStyle w:val="CharStyle3"/>
          <w:i/>
        </w:rPr>
        <w:t xml:space="preserve">inen Pitka</w:t>
      </w:r>
      <w:r>
        <w:rPr>
          <w:rStyle w:val="CharStyle3"/>
          <w:sz w:val="11"/>
        </w:rPr>
        <w:t xml:space="preserve"> ̈</w:t>
      </w:r>
      <w:r>
        <w:rPr>
          <w:rStyle w:val="CharStyle3"/>
          <w:i/>
        </w:rPr>
        <w:t xml:space="preserve">KATU 4a, 20520 Turku, Finland</w:t>
      </w:r>
      <w:bookmarkEnd w:id="7"/>
      <w:bookmarkEnd w:id="8"/>
    </w:p>
    <w:p>
      <w:pPr>
        <w:pStyle w:val="Style2"/>
        <w:keepNext w:val="0"/>
        <w:keepLines w:val="0"/>
        <w:widowControl w:val="0"/>
        <w:shd w:val="clear" w:color="auto" w:fill="auto"/>
        <w:spacing w:before="0" w:after="0" w:line="240" w:lineRule="auto"/>
        <w:ind w:left="0" w:right="0" w:firstLine="0"/>
        <w:jc w:val="left"/>
      </w:pPr>
      <w:bookmarkStart w:id="9" w:name="bookmark9"/>
      <w:r>
        <w:rPr>
          <w:rStyle w:val="CharStyle3"/>
          <w:vertAlign w:val="superscript"/>
        </w:rPr>
        <w:t>g</w:t>
      </w:r>
      <w:r>
        <w:rPr>
          <w:rStyle w:val="CharStyle3"/>
        </w:rPr>
        <w:t xml:space="preserve"> </w:t>
      </w:r>
      <w:r>
        <w:rPr>
          <w:rStyle w:val="CharStyle3"/>
          <w:i/>
        </w:rPr>
        <w:t xml:space="preserve">National Marine Fisheries Research Institutea, Kollataja 1, 81-332 Gdyni, Poland</w:t>
      </w:r>
      <w:bookmarkEnd w:id="9"/>
    </w:p>
    <w:p>
      <w:pPr>
        <w:pStyle w:val="Style2"/>
        <w:keepNext w:val="0"/>
        <w:keepLines w:val="0"/>
        <w:widowControl w:val="0"/>
        <w:pBdr>
          <w:bottom w:val="single" w:sz="4" w:space="0" w:color="auto"/>
        </w:pBdr>
        <w:shd w:val="clear" w:color="auto" w:fill="auto"/>
        <w:spacing w:before="0" w:after="420" w:line="240" w:lineRule="auto"/>
        <w:ind w:left="0" w:right="0" w:firstLine="0"/>
        <w:jc w:val="left"/>
      </w:pPr>
      <w:r>
        <w:rPr>
          <w:rStyle w:val="CharStyle3"/>
          <w:vertAlign w:val="superscript"/>
        </w:rPr>
        <w:t>h</w:t>
      </w:r>
      <w:r>
        <w:rPr>
          <w:rStyle w:val="CharStyle3"/>
        </w:rPr>
        <w:t xml:space="preserve"> </w:t>
      </w:r>
      <w:r>
        <w:rPr>
          <w:rStyle w:val="CharStyle3"/>
          <w:i/>
        </w:rPr>
        <w:t xml:space="preserve">University of Tartu, Estonian Marine Institute, Vanemuise 46a, EE-51003 Tartu, Estonia</w:t>
      </w:r>
    </w:p>
    <w:p>
      <w:pPr>
        <w:pStyle w:val="Style2"/>
        <w:keepNext w:val="0"/>
        <w:keepLines w:val="0"/>
        <w:widowControl w:val="0"/>
        <w:shd w:val="clear" w:color="auto" w:fill="auto"/>
        <w:spacing w:before="0" w:after="180" w:line="240" w:lineRule="auto"/>
        <w:ind w:left="0" w:right="0" w:firstLine="0"/>
        <w:jc w:val="left"/>
        <w:rPr>
          <w:sz w:val="13"/>
        </w:rPr>
      </w:pPr>
      <w:r>
        <w:rPr>
          <w:rStyle w:val="CharStyle3"/>
          <w:sz w:val="13"/>
        </w:rPr>
        <w:t xml:space="preserve">ARTICLE INFO</w:t>
      </w:r>
    </w:p>
    <w:p>
      <w:pPr>
        <w:pStyle w:val="Style23"/>
        <w:keepNext w:val="0"/>
        <w:keepLines w:val="0"/>
        <w:widowControl w:val="0"/>
        <w:pBdr>
          <w:bottom w:val="single" w:sz="4" w:space="0" w:color="auto"/>
        </w:pBdr>
        <w:shd w:val="clear" w:color="auto" w:fill="auto"/>
        <w:spacing w:before="0" w:after="0"/>
        <w:ind w:right="0" w:firstLine="0"/>
        <w:jc w:val="both"/>
        <w:sectPr>
          <w:headerReference w:type="default" r:id="rId9"/>
          <w:footerReference w:type="default" r:id="rId10"/>
          <w:headerReference w:type="first" r:id="rId11"/>
          <w:footerReference w:type="first" r:id="rId12"/>
          <w:footnotePr>
            <w:pos w:val="pageBottom"/>
            <w:numFmt w:val="decimal"/>
            <w:numRestart w:val="continuous"/>
          </w:footnotePr>
          <w:pgSz w:w="12240" w:h="15840"/>
          <w:pgMar w:top="1092" w:right="879" w:bottom="1289" w:left="893" w:header="0" w:footer="3" w:gutter="0"/>
          <w:pgNumType w:start="1"/>
          <w:cols w:space="720"/>
          <w:noEndnote/>
          <w:titlePg/>
          <w:rtlGutter w:val="0"/>
          <w:docGrid w:linePitch="360"/>
        </w:sectPr>
      </w:pPr>
      <w:r>
        <w:rPr>
          <w:rStyle w:val="CharStyle24"/>
        </w:rPr>
        <w:t xml:space="preserve">The intended consequences of marine Mammal recoveries have created complex issues for resource managers to solar. In the Baltic Sea, the grey seal (</w:t>
      </w:r>
      <w:r>
        <w:rPr>
          <w:rStyle w:val="CharStyle24"/>
          <w:i/>
        </w:rPr>
        <w:t xml:space="preserve">Halichoerus grypus</w:t>
      </w:r>
      <w:r>
        <w:rPr>
          <w:rStyle w:val="CharStyle24"/>
        </w:rPr>
        <w:t xml:space="preserve">) population has increased significantly during recent decades, and the conflict between seal conservation and fisheries has been recorded. Serious the magnitude of ECO- nomic losses Varies depending on the type of fisheries, there is strong evidence that the grey seal population negatively impacts coastal fisheries and indirectly trends the cultural heritage connected to it. The current management paradigm is biased towards the pressing of seal populations and it is failing to address socio-economic impacts of seal population. This is a need to strike a balance between seal conservation and the viability of coastal fisheries, taking into consideration local phenomena. This paper contributes to resolving this problem by assessing the existing governance arrangement. We conclude that the Inconsistencies between and within different regulatory frameworks in HELCOM recommendations and European Union law are a structural difficulty to tackle the problem. Further to that, some of the existing management criteria applicable to Baltic grey seal population need to be audited by providing more consideration to regional conditions within the Baltic Sea. For instance, if the data shows that the Baltic grey seal population in its core distribution area has been reached a sustainable status and is no longer at risk, then the use of peripheral areas as an indication of invaluable state of the total Baltic Sea grey seal population is arguable.</w:t>
      </w:r>
    </w:p>
    <w:p>
      <w:pPr>
        <w:widowControl w:val="0"/>
        <w:spacing w:before="63" w:after="63" w:line="240" w:lineRule="exact"/>
        <w:rPr>
          <w:sz w:val="19"/>
        </w:rPr>
      </w:pPr>
    </w:p>
    <w:p>
      <w:pPr>
        <w:widowControl w:val="0"/>
        <w:spacing w:line="1" w:lineRule="exact"/>
        <w:sectPr>
          <w:footnotePr>
            <w:pos w:val="pageBottom"/>
            <w:numFmt w:val="decimal"/>
            <w:numRestart w:val="continuous"/>
          </w:footnotePr>
          <w:type w:val="continuous"/>
          <w:pgSz w:w="12240" w:h="15840"/>
          <w:pgMar w:top="990" w:right="0" w:bottom="925" w:left="0" w:header="0" w:footer="3" w:gutter="0"/>
          <w:cols w:space="720"/>
          <w:noEndnote/>
          <w:rtlGutter w:val="0"/>
          <w:docGrid w:linePitch="360"/>
        </w:sectPr>
      </w:pPr>
    </w:p>
    <w:p>
      <w:pPr>
        <w:widowControl w:val="0"/>
        <w:spacing w:line="1" w:lineRule="exact"/>
      </w:pPr>
      <w:r>
        <mc:AlternateContent>
          <mc:Choice Requires="wps">
            <w:drawing>
              <wp:anchor distT="101600" distB="714375" distL="184150" distR="2266315" simplePos="0" relativeHeight="125829384" behindDoc="0" locked="0" layoutInCell="1" allowOverlap="1">
                <wp:simplePos x="0" y="0"/>
                <wp:positionH relativeFrom="page">
                  <wp:posOffset>636905</wp:posOffset>
                </wp:positionH>
                <wp:positionV relativeFrom="paragraph">
                  <wp:posOffset>1706880</wp:posOffset>
                </wp:positionV>
                <wp:extent cx="4410710" cy="423545"/>
                <wp:wrapTopAndBottom/>
                <wp:docPr id="15" name="SHAPE 15"/>
                <a:graphic xmlns:a="http://schemas.openxmlformats.org/drawingml/2006/main">
                  <a:graphicData uri="http://schemas.microsoft.com/office/word/2010/wordprocessingShape">
                    <wps:wsp>
                      <wps:cNvSpPr txBox="1"/>
                      <wps:spPr>
                        <a:xfrm>
                          <a:ext cx="4410710" cy="423545"/>
                        </a:xfrm>
                        <a:prstGeom prst="rect"/>
                        <a:noFill/>
                      </wps:spPr>
                      <wps:txbx>
                        <w:txbxContent>
                          <w:p>
                            <w:pPr>
                              <w:pStyle w:val="Style23"/>
                              <w:keepNext w:val="0"/>
                              <w:keepLines w:val="0"/>
                              <w:widowControl w:val="0"/>
                              <w:shd w:val="clear" w:color="auto" w:fill="auto"/>
                              <w:spacing w:before="0" w:after="0" w:line="240" w:lineRule="auto"/>
                              <w:ind w:left="0" w:right="0" w:firstLine="0"/>
                              <w:jc w:val="left"/>
                            </w:pPr>
                            <w:bookmarkStart w:id="10" w:name="bookmark10"/>
                            <w:r>
                              <w:rPr>
                                <w:rStyle w:val="CharStyle24"/>
                              </w:rPr>
                              <w:t xml:space="preserve">* Corresponding authorisations.</w:t>
                            </w:r>
                            <w:bookmarkEnd w:id="10"/>
                          </w:p>
                          <w:p>
                            <w:pPr>
                              <w:pStyle w:val="Style23"/>
                              <w:keepNext w:val="0"/>
                              <w:keepLines w:val="0"/>
                              <w:widowControl w:val="0"/>
                              <w:shd w:val="clear" w:color="auto" w:fill="auto"/>
                              <w:spacing w:before="0" w:after="0" w:line="240" w:lineRule="auto"/>
                              <w:ind w:left="0" w:right="0" w:firstLine="140"/>
                              <w:jc w:val="left"/>
                            </w:pPr>
                            <w:r>
                              <w:rPr>
                                <w:rStyle w:val="CharStyle24"/>
                                <w:i/>
                              </w:rPr>
                              <w:t xml:space="preserve">E-mail address:</w:t>
                            </w:r>
                            <w:r>
                              <w:rPr>
                                <w:rStyle w:val="CharStyle24"/>
                              </w:rPr>
                              <w:t xml:space="preserve"> </w:t>
                            </w:r>
                            <w:r>
                              <w:fldChar w:fldCharType="begin"/>
                            </w:r>
                            <w:r>
                              <w:rPr/>
                              <w:instrText> HYPERLINK "mailto:kristina.svels@luke.fi" </w:instrText>
                            </w:r>
                            <w:r>
                              <w:fldChar w:fldCharType="separate"/>
                            </w:r>
                            <w:r>
                              <w:rPr>
                                <w:rStyle w:val="CharStyle24"/>
                                <w:color w:val="2196D1"/>
                              </w:rPr>
                              <w:t>kristina.svels@luke.fi</w:t>
                            </w:r>
                            <w:r>
                              <w:fldChar w:fldCharType="end"/>
                            </w:r>
                            <w:r>
                              <w:rPr>
                                <w:rStyle w:val="CharStyle24"/>
                                <w:color w:val="2196D1"/>
                              </w:rPr>
                              <w:t xml:space="preserve"> </w:t>
                            </w:r>
                            <w:r>
                              <w:rPr>
                                <w:rStyle w:val="CharStyle24"/>
                              </w:rPr>
                              <w:t xml:space="preserve">(K. Svels).</w:t>
                            </w:r>
                          </w:p>
                          <w:p>
                            <w:pPr>
                              <w:pStyle w:val="Style23"/>
                              <w:keepNext w:val="0"/>
                              <w:keepLines w:val="0"/>
                              <w:widowControl w:val="0"/>
                              <w:shd w:val="clear" w:color="auto" w:fill="auto"/>
                              <w:spacing w:before="0" w:after="0" w:line="240" w:lineRule="auto"/>
                              <w:ind w:left="0" w:right="0" w:firstLine="0"/>
                              <w:jc w:val="left"/>
                            </w:pPr>
                            <w:bookmarkStart w:id="11" w:name="bookmark11"/>
                            <w:r>
                              <w:rPr>
                                <w:rStyle w:val="CharStyle24"/>
                                <w:vertAlign w:val="superscript"/>
                              </w:rPr>
                              <w:t>1</w:t>
                            </w:r>
                            <w:r>
                              <w:rPr>
                                <w:rStyle w:val="CharStyle24"/>
                              </w:rPr>
                              <w:t xml:space="preserve"> current address: International Seafood Consulting Group, Dagmarinkatu 13 B15, 00100 Helsinki, Finland</w:t>
                            </w:r>
                            <w:bookmarkEnd w:id="11"/>
                          </w:p>
                        </w:txbxContent>
                      </wps:txbx>
                      <wps:bodyPr lIns="0" tIns="0" rIns="0" bIns="0">
                        <a:noAutoFit/>
                      </wps:bodyPr>
                    </wps:wsp>
                  </a:graphicData>
                </a:graphic>
              </wp:anchor>
            </w:drawing>
          </mc:Choice>
        </mc:AlternateContent>
      </w:r>
      <w:r>
        <mc:AlternateContent>
          <mc:Choice Requires="wps">
            <w:drawing>
              <wp:anchor distT="561975" distB="254000" distL="114300" distR="114300" simplePos="0" relativeHeight="125829386" behindDoc="0" locked="0" layoutInCell="1" allowOverlap="1">
                <wp:simplePos x="0" y="0"/>
                <wp:positionH relativeFrom="page">
                  <wp:posOffset>567055</wp:posOffset>
                </wp:positionH>
                <wp:positionV relativeFrom="paragraph">
                  <wp:posOffset>2167255</wp:posOffset>
                </wp:positionV>
                <wp:extent cx="6632575" cy="423545"/>
                <wp:wrapTopAndBottom/>
                <wp:docPr id="17" name="SHAPE 17"/>
                <a:graphic xmlns:a="http://schemas.openxmlformats.org/drawingml/2006/main">
                  <a:graphicData uri="http://schemas.microsoft.com/office/word/2010/wordprocessingShape">
                    <wps:wsp>
                      <wps:cNvSpPr txBox="1"/>
                      <wps:spPr>
                        <a:xfrm>
                          <a:ext cx="6632575" cy="423545"/>
                        </a:xfrm>
                        <a:prstGeom prst="rect"/>
                        <a:noFill/>
                      </wps:spPr>
                      <wps:txbx>
                        <w:txbxContent>
                          <w:p>
                            <w:pPr>
                              <w:pStyle w:val="Style23"/>
                              <w:keepNext w:val="0"/>
                              <w:keepLines w:val="0"/>
                              <w:widowControl w:val="0"/>
                              <w:shd w:val="clear" w:color="auto" w:fill="auto"/>
                              <w:spacing w:before="0" w:after="0" w:line="240" w:lineRule="auto"/>
                              <w:ind w:left="0" w:right="0" w:firstLine="0"/>
                              <w:jc w:val="left"/>
                            </w:pPr>
                            <w:r>
                              <w:fldChar w:fldCharType="begin"/>
                            </w:r>
                            <w:r>
                              <w:rPr/>
                              <w:instrText> HYPERLINK "https://doi.org/10.1016/j.marpol.2023.105684" </w:instrText>
                            </w:r>
                            <w:r>
                              <w:fldChar w:fldCharType="separate"/>
                            </w:r>
                            <w:r>
                              <w:rPr>
                                <w:rStyle w:val="CharStyle24"/>
                                <w:color w:val="2196D1"/>
                              </w:rPr>
                              <w:t>https://doi.org/10.1016/j.marpol.2023.105684</w:t>
                            </w:r>
                            <w:r>
                              <w:fldChar w:fldCharType="end"/>
                            </w:r>
                          </w:p>
                          <w:p>
                            <w:pPr>
                              <w:pStyle w:val="Style23"/>
                              <w:keepNext w:val="0"/>
                              <w:keepLines w:val="0"/>
                              <w:widowControl w:val="0"/>
                              <w:shd w:val="clear" w:color="auto" w:fill="auto"/>
                              <w:spacing w:before="0" w:after="0" w:line="240" w:lineRule="auto"/>
                              <w:ind w:left="0" w:right="0" w:firstLine="0"/>
                              <w:jc w:val="left"/>
                            </w:pPr>
                            <w:r>
                              <w:rPr>
                                <w:rStyle w:val="CharStyle24"/>
                              </w:rPr>
                              <w:t xml:space="preserve">Recipe 22 November 2022; Received in revised form 25 April 2023; Accepted 25 May 2023</w:t>
                            </w:r>
                          </w:p>
                          <w:p>
                            <w:pPr>
                              <w:pStyle w:val="Style12"/>
                              <w:keepNext w:val="0"/>
                              <w:keepLines w:val="0"/>
                              <w:widowControl w:val="0"/>
                              <w:shd w:val="clear" w:color="auto" w:fill="auto"/>
                              <w:spacing w:before="0" w:after="0" w:line="240" w:lineRule="auto"/>
                              <w:ind w:left="0" w:right="0" w:firstLine="0"/>
                              <w:jc w:val="left"/>
                              <w:rPr>
                                <w:sz w:val="14"/>
                              </w:rPr>
                            </w:pPr>
                            <w:r>
                              <w:rPr>
                                <w:rStyle w:val="CharStyle13"/>
                                <w:rFonts w:ascii="Times New Roman" w:hAnsi="Times New Roman" w:cs="Times New Roman" w:eastAsia="Times New Roman"/>
                                <w:sz w:val="14"/>
                              </w:rPr>
                              <w:t xml:space="preserve">0308-597x/© 2023 The Author (s). Published by Elsevier Ltd. This is an open access article under the CC BY license (</w:t>
                            </w:r>
                            <w:r>
                              <w:fldChar w:fldCharType="begin"/>
                            </w:r>
                            <w:r>
                              <w:rPr/>
                              <w:instrText> HYPERLINK "http://creativecommons.org/licenses/by/4.0/" </w:instrText>
                            </w:r>
                            <w:r>
                              <w:fldChar w:fldCharType="separate"/>
                            </w:r>
                            <w:r>
                              <w:rPr>
                                <w:rStyle w:val="CharStyle13"/>
                                <w:rFonts w:ascii="Times New Roman" w:eastAsia="Times New Roman" w:hAnsi="Times New Roman" w:cs="Times New Roman"/>
                                <w:color w:val="00769F"/>
                                <w:sz w:val="14"/>
                              </w:rPr>
                              <w:t>http://creativecommons.org/licenses/by/4.0/</w:t>
                            </w:r>
                            <w:r>
                              <w:fldChar w:fldCharType="end"/>
                            </w:r>
                            <w:r>
                              <w:rPr>
                                <w:rStyle w:val="CharStyle13"/>
                                <w:rFonts w:ascii="Times New Roman" w:hAnsi="Times New Roman" w:cs="Times New Roman" w:eastAsia="Times New Roman"/>
                                <w:sz w:val="14"/>
                              </w:rPr>
                              <w:t>).</w:t>
                            </w:r>
                          </w:p>
                        </w:txbxContent>
                      </wps:txbx>
                      <wps:bodyPr lIns="0" tIns="0" rIns="0" bIns="0">
                        <a:noAutoFit/>
                      </wps:bodyPr>
                    </wps:wsp>
                  </a:graphicData>
                </a:graphic>
              </wp:anchor>
            </w:drawing>
          </mc:Choice>
        </mc:AlternateContent>
      </w:r>
    </w:p>
    <w:p>
      <w:pPr>
        <w:pStyle w:val="Style46"/>
        <w:keepNext/>
        <w:keepLines/>
        <w:widowControl w:val="0"/>
        <w:numPr>
          <w:ilvl w:val="0"/>
          <w:numId w:val="1"/>
        </w:numPr>
        <w:shd w:val="clear" w:color="auto" w:fill="auto"/>
        <w:tabs>
          <w:tab w:pos="260" w:val="left"/>
        </w:tabs>
        <w:spacing w:before="0"/>
        <w:ind w:left="0" w:right="0" w:firstLine="0"/>
        <w:jc w:val="left"/>
      </w:pPr>
      <w:bookmarkStart w:id="12" w:name="bookmark12"/>
      <w:r>
        <w:rPr>
          <w:rStyle w:val="CharStyle47"/>
          <w:b/>
        </w:rPr>
        <w:t>Introduction</w:t>
      </w:r>
      <w:bookmarkEnd w:id="12"/>
    </w:p>
    <w:p>
      <w:pPr>
        <w:pStyle w:val="Style6"/>
        <w:keepNext w:val="0"/>
        <w:keepLines w:val="0"/>
        <w:widowControl w:val="0"/>
        <w:shd w:val="clear" w:color="auto" w:fill="auto"/>
        <w:spacing w:before="0" w:after="0" w:line="293" w:lineRule="auto"/>
        <w:ind w:left="0" w:right="0"/>
        <w:jc w:val="both"/>
      </w:pPr>
      <w:r>
        <w:rPr>
          <w:rStyle w:val="CharStyle7"/>
        </w:rPr>
        <w:t xml:space="preserve">The intended consequences of marine Mammal recoveries have a major concern in many regions creating difficult trade-offs for natural resource managers to address</w:t>
      </w:r>
      <w:hyperlink w:anchor="bookmark73" w:tooltip="Current Document">
        <w:r>
          <w:rPr>
            <w:rStyle w:val="CharStyle7"/>
          </w:rPr>
          <w:t xml:space="preserve"> </w:t>
        </w:r>
        <w:r>
          <w:rPr>
            <w:rStyle w:val="CharStyle7"/>
            <w:color w:val="2196D1"/>
          </w:rPr>
          <w:t>[11]</w:t>
        </w:r>
      </w:hyperlink>
      <w:r>
        <w:rPr>
          <w:rStyle w:val="CharStyle7"/>
        </w:rPr>
        <w:t xml:space="preserve">. Any seal populations have responded favourably to reductions of commercial hunting and culling </w:t>
      </w:r>
      <w:hyperlink w:anchor="bookmark105" w:tooltip="Current Document">
        <w:r>
          <w:rPr>
            <w:rStyle w:val="CharStyle7"/>
            <w:color w:val="2196D1"/>
          </w:rPr>
          <w:t>[52]</w:t>
        </w:r>
      </w:hyperlink>
      <w:r>
        <w:rPr>
          <w:rStyle w:val="CharStyle7"/>
        </w:rPr>
        <w:t xml:space="preserve">. The Baltic grey seal (</w:t>
      </w:r>
      <w:r>
        <w:rPr>
          <w:rStyle w:val="CharStyle7"/>
          <w:i/>
        </w:rPr>
        <w:t xml:space="preserve">Halichoerus grypus</w:t>
      </w:r>
      <w:r>
        <w:rPr>
          <w:rStyle w:val="CharStyle7"/>
        </w:rPr>
        <w:t xml:space="preserve">) population is a good example of the challenges in the management of a generally growing marine Mammal population.</w:t>
      </w:r>
    </w:p>
    <w:p>
      <w:pPr>
        <w:pStyle w:val="Style6"/>
        <w:keepNext w:val="0"/>
        <w:keepLines w:val="0"/>
        <w:widowControl w:val="0"/>
        <w:shd w:val="clear" w:color="auto" w:fill="auto"/>
        <w:spacing w:before="0" w:after="0" w:line="293" w:lineRule="auto"/>
        <w:ind w:left="0" w:right="0"/>
        <w:jc w:val="both"/>
      </w:pPr>
      <w:r>
        <w:rPr>
          <w:rStyle w:val="CharStyle7"/>
        </w:rPr>
        <w:t xml:space="preserve">The grey seal, the most common seal species in the Baltic, is distributed in the total Baltic Sea with main distribution area along the coasts of central Baltic (</w:t>
      </w:r>
      <w:hyperlink w:anchor="bookmark14" w:tooltip="Current Document">
        <w:r>
          <w:rPr>
            <w:rStyle w:val="CharStyle7"/>
            <w:color w:val="2196D1"/>
          </w:rPr>
          <w:t xml:space="preserve">Fig. (1</w:t>
        </w:r>
      </w:hyperlink>
      <w:r>
        <w:rPr>
          <w:rStyle w:val="CharStyle7"/>
        </w:rPr>
        <w:t xml:space="preserve">). Historical hunting records show that during the</w:t>
      </w:r>
      <w:r>
        <w:rPr>
          <w:rStyle w:val="CharStyle7"/>
          <w:sz w:val="14"/>
        </w:rPr>
        <w:t xml:space="preserve">period of 1975-1900</w:t>
      </w:r>
      <w:r>
        <w:rPr>
          <w:rStyle w:val="CharStyle7"/>
        </w:rPr>
        <w:t xml:space="preserve">the population was Severely depleted first due to extensive hunting</w:t>
      </w:r>
      <w:hyperlink w:anchor="bookmark83" w:tooltip="Current Document">
        <w:r>
          <w:rPr>
            <w:rStyle w:val="CharStyle7"/>
          </w:rPr>
          <w:t xml:space="preserve"> </w:t>
        </w:r>
        <w:r>
          <w:rPr>
            <w:rStyle w:val="CharStyle7"/>
            <w:color w:val="2196D1"/>
          </w:rPr>
          <w:t xml:space="preserve">[22,40] </w:t>
        </w:r>
      </w:hyperlink>
      <w:r>
        <w:rPr>
          <w:rStyle w:val="CharStyle7"/>
        </w:rPr>
        <w:t xml:space="preserve">and then due to high concentration of hazardous substances in the water</w:t>
      </w:r>
      <w:hyperlink w:anchor="bookmark91" w:tooltip="Current Document">
        <w:r>
          <w:rPr>
            <w:rStyle w:val="CharStyle7"/>
          </w:rPr>
          <w:t xml:space="preserve"> </w:t>
        </w:r>
        <w:r>
          <w:rPr>
            <w:rStyle w:val="CharStyle7"/>
            <w:color w:val="2196D1"/>
          </w:rPr>
          <w:t>[30]</w:t>
        </w:r>
      </w:hyperlink>
      <w:r>
        <w:rPr>
          <w:rStyle w:val="CharStyle7"/>
        </w:rPr>
        <w:t xml:space="preserve">. This is marked un- certainty of how large the population was in the early 1900 s</w:t>
      </w:r>
      <w:hyperlink w:anchor="bookmark101" w:tooltip="Current Document">
        <w:r>
          <w:rPr>
            <w:rStyle w:val="CharStyle7"/>
          </w:rPr>
          <w:t xml:space="preserve"> </w:t>
        </w:r>
        <w:r>
          <w:rPr>
            <w:rStyle w:val="CharStyle7"/>
            <w:color w:val="2196D1"/>
          </w:rPr>
          <w:t>[40]</w:t>
        </w:r>
      </w:hyperlink>
      <w:r>
        <w:rPr>
          <w:rStyle w:val="CharStyle7"/>
          <w:color w:val="2196D1"/>
        </w:rPr>
        <w:t xml:space="preserve"> </w:t>
      </w:r>
      <w:r>
        <w:rPr>
          <w:rStyle w:val="CharStyle7"/>
        </w:rPr>
        <w:t xml:space="preserve">sounded, based on hunting statistics, that it ranked between 30,000 to 200,000 individuals Whereas</w:t>
      </w:r>
      <w:hyperlink w:anchor="bookmark83" w:tooltip="Current Document">
        <w:r>
          <w:rPr>
            <w:rStyle w:val="CharStyle7"/>
          </w:rPr>
          <w:t xml:space="preserve"> </w:t>
        </w:r>
        <w:r>
          <w:rPr>
            <w:rStyle w:val="CharStyle7"/>
            <w:color w:val="2196D1"/>
          </w:rPr>
          <w:t xml:space="preserve">[22] </w:t>
        </w:r>
      </w:hyperlink>
      <w:r>
        <w:rPr>
          <w:rStyle w:val="CharStyle7"/>
        </w:rPr>
        <w:t xml:space="preserve">estimated it around 88,000 to 100, 000 individuals.</w:t>
      </w:r>
    </w:p>
    <w:p>
      <w:pPr>
        <w:pStyle w:val="Style6"/>
        <w:keepNext w:val="0"/>
        <w:keepLines w:val="0"/>
        <w:widowControl w:val="0"/>
        <w:shd w:val="clear" w:color="auto" w:fill="auto"/>
        <w:spacing w:before="0" w:after="0"/>
        <w:ind w:left="0" w:right="0"/>
        <w:jc w:val="both"/>
      </w:pPr>
      <w:r>
        <w:rPr>
          <w:rStyle w:val="CharStyle7"/>
        </w:rPr>
        <w:t xml:space="preserve">In the mid-1980 s the Baltic grey seal population began to recover rape, with an annual growth rate of about 10 %</w:t>
      </w:r>
      <w:hyperlink w:anchor="bookmark88" w:tooltip="Current Document">
        <w:r>
          <w:rPr>
            <w:rStyle w:val="CharStyle7"/>
          </w:rPr>
          <w:t xml:space="preserve"> </w:t>
        </w:r>
        <w:r>
          <w:rPr>
            <w:rStyle w:val="CharStyle7"/>
            <w:color w:val="2196D1"/>
          </w:rPr>
          <w:t>[27]</w:t>
        </w:r>
      </w:hyperlink>
      <w:r>
        <w:rPr>
          <w:rStyle w:val="CharStyle7"/>
        </w:rPr>
        <w:t xml:space="preserve">. Since the beginning of 2000 s, the growth rate in the main distribution area has</w:t>
        <w:br w:type="page"/>
        <w:t xml:space="preserve">been around 5 %, with sensitive yearly variation in number of measured seats (</w:t>
      </w:r>
      <w:r>
        <w:rPr>
          <w:rStyle w:val="CharStyle7"/>
          <w:color w:val="2196D1"/>
        </w:rPr>
        <w:t xml:space="preserve">Fig. 2</w:t>
      </w:r>
      <w:r>
        <w:rPr>
          <w:rStyle w:val="CharStyle7"/>
        </w:rPr>
        <w:t xml:space="preserve">; </w:t>
      </w:r>
      <w:hyperlink w:anchor="bookmark60" w:tooltip="Current Document">
        <w:r>
          <w:rPr>
            <w:rStyle w:val="CharStyle7"/>
            <w:color w:val="2196D1"/>
          </w:rPr>
          <w:t xml:space="preserve">Annex 1</w:t>
        </w:r>
      </w:hyperlink>
      <w:r>
        <w:rPr>
          <w:rStyle w:val="CharStyle7"/>
        </w:rPr>
        <w:t xml:space="preserve">). Accurately, the population has increased also in the southern Baltic</w:t>
      </w:r>
      <w:hyperlink w:anchor="bookmark80" w:tooltip="Current Document">
        <w:r>
          <w:rPr>
            <w:rStyle w:val="CharStyle7"/>
          </w:rPr>
          <w:t xml:space="preserve"> </w:t>
        </w:r>
        <w:r>
          <w:rPr>
            <w:rStyle w:val="CharStyle7"/>
            <w:color w:val="2196D1"/>
          </w:rPr>
          <w:t xml:space="preserve">[19] </w:t>
        </w:r>
      </w:hyperlink>
      <w:r>
        <w:rPr>
          <w:rStyle w:val="CharStyle7"/>
        </w:rPr>
        <w:t xml:space="preserve">with the annual increase of about 17 % from 2003 until 2019</w:t>
      </w:r>
      <w:hyperlink w:anchor="bookmark66" w:tooltip="Current Document">
        <w:r>
          <w:rPr>
            <w:rStyle w:val="CharStyle7"/>
          </w:rPr>
          <w:t xml:space="preserve"> </w:t>
        </w:r>
        <w:r>
          <w:rPr>
            <w:rStyle w:val="CharStyle7"/>
            <w:color w:val="2196D1"/>
          </w:rPr>
          <w:t>[2]</w:t>
        </w:r>
      </w:hyperlink>
      <w:r>
        <w:rPr>
          <w:rStyle w:val="CharStyle7"/>
        </w:rPr>
        <w:t xml:space="preserve">. In 2021, almost 42,000 grey seals were counted in aerial surveys in the Baltic Sea. Use the counted numbers include 6080 %</w:t>
      </w:r>
      <w:r>
        <w:rPr>
          <w:rStyle w:val="CharStyle7"/>
          <w:sz w:val="14"/>
        </w:rPr>
        <w:t>of</w:t>
      </w:r>
      <w:r>
        <w:rPr>
          <w:rStyle w:val="CharStyle7"/>
        </w:rPr>
        <w:t xml:space="preserve">all individuals</w:t>
      </w:r>
      <w:hyperlink w:anchor="bookmark88" w:tooltip="Current Document">
        <w:r>
          <w:rPr>
            <w:rStyle w:val="CharStyle7"/>
          </w:rPr>
          <w:t xml:space="preserve"> </w:t>
        </w:r>
        <w:r>
          <w:rPr>
            <w:rStyle w:val="CharStyle7"/>
            <w:color w:val="2196D1"/>
          </w:rPr>
          <w:t>[27]</w:t>
        </w:r>
      </w:hyperlink>
      <w:r>
        <w:rPr>
          <w:rStyle w:val="CharStyle7"/>
        </w:rPr>
        <w:t xml:space="preserve">, the overall population size in the Baltic Sea in 2021 is estimated from 52,000 to 69,000 individuals.</w:t>
      </w:r>
    </w:p>
    <w:p>
      <w:pPr>
        <w:pStyle w:val="Style6"/>
        <w:keepNext w:val="0"/>
        <w:keepLines w:val="0"/>
        <w:widowControl w:val="0"/>
        <w:shd w:val="clear" w:color="auto" w:fill="auto"/>
        <w:spacing w:before="0" w:after="0"/>
        <w:ind w:left="0" w:right="0"/>
        <w:jc w:val="both"/>
      </w:pPr>
      <w:r>
        <w:rPr>
          <w:rStyle w:val="CharStyle7"/>
        </w:rPr>
        <w:t xml:space="preserve">In parallel with the growing grey seal population, seal-induced catch and gear damages have been increased in the Baltic coastal fisheries</w:t>
      </w:r>
      <w:hyperlink w:anchor="bookmark100" w:tooltip="Current Document">
        <w:r>
          <w:rPr>
            <w:rStyle w:val="CharStyle7"/>
          </w:rPr>
          <w:t xml:space="preserve"> </w:t>
        </w:r>
        <w:r>
          <w:rPr>
            <w:rStyle w:val="CharStyle7"/>
            <w:color w:val="2196D1"/>
          </w:rPr>
          <w:t>[39,41,</w:t>
        </w:r>
      </w:hyperlink>
      <w:r>
        <w:rPr>
          <w:rStyle w:val="CharStyle7"/>
          <w:color w:val="2196D1"/>
        </w:rPr>
        <w:t xml:space="preserve"> </w:t>
      </w:r>
      <w:hyperlink w:anchor="bookmark100" w:tooltip="Current Document">
        <w:r>
          <w:rPr>
            <w:rStyle w:val="CharStyle7"/>
            <w:color w:val="2196D1"/>
          </w:rPr>
          <w:t>42,65]</w:t>
        </w:r>
      </w:hyperlink>
      <w:r>
        <w:rPr>
          <w:rStyle w:val="CharStyle7"/>
        </w:rPr>
        <w:t xml:space="preserve">, causing significant costs to coastal Fishers</w:t>
      </w:r>
      <w:hyperlink w:anchor="bookmark115" w:tooltip="Current Document">
        <w:r>
          <w:rPr>
            <w:rStyle w:val="CharStyle7"/>
          </w:rPr>
          <w:t xml:space="preserve"> </w:t>
        </w:r>
        <w:r>
          <w:rPr>
            <w:rStyle w:val="CharStyle7"/>
            <w:color w:val="2196D1"/>
          </w:rPr>
          <w:t>[68]</w:t>
        </w:r>
      </w:hyperlink>
      <w:r>
        <w:rPr>
          <w:rStyle w:val="CharStyle7"/>
        </w:rPr>
        <w:t>.</w:t>
      </w:r>
      <w:hyperlink w:anchor="bookmark110" w:tooltip="Current Document">
        <w:r>
          <w:rPr>
            <w:rStyle w:val="CharStyle7"/>
          </w:rPr>
          <w:t xml:space="preserve"> </w:t>
        </w:r>
        <w:r>
          <w:rPr>
            <w:rStyle w:val="CharStyle7"/>
            <w:color w:val="2196D1"/>
          </w:rPr>
          <w:t xml:space="preserve">[60] </w:t>
        </w:r>
      </w:hyperlink>
      <w:r>
        <w:rPr>
          <w:rStyle w:val="CharStyle7"/>
        </w:rPr>
        <w:t xml:space="preserve">collaboration, in collaboration with 15 Fisheries Local Action groups in six countries within the Baltic Sea-basin, from a total of 175 Baltic Sea Fishers their estimates of seal induced economic losses in 2018. In Finland the average loss per Fisher was EUR 20,465 (n </w:t>
      </w:r>
      <w:r>
        <w:rPr>
          <w:rStyle w:val="CharStyle7"/>
          <w:sz w:val="14"/>
        </w:rPr>
        <w:t xml:space="preserve">= </w:t>
      </w:r>
      <w:r>
        <w:rPr>
          <w:rStyle w:val="CharStyle7"/>
        </w:rPr>
        <w:t xml:space="preserve">79 Fishers), in Sweden EUR 19,834 (n </w:t>
      </w:r>
      <w:r>
        <w:rPr>
          <w:rStyle w:val="CharStyle7"/>
          <w:sz w:val="14"/>
        </w:rPr>
        <w:t xml:space="preserve">= </w:t>
      </w:r>
      <w:r>
        <w:rPr>
          <w:rStyle w:val="CharStyle7"/>
        </w:rPr>
        <w:t xml:space="preserve">66), in Estonia EUR 5451 (n </w:t>
      </w:r>
      <w:r>
        <w:rPr>
          <w:rStyle w:val="CharStyle7"/>
          <w:sz w:val="14"/>
        </w:rPr>
        <w:t xml:space="preserve">= </w:t>
      </w:r>
      <w:r>
        <w:rPr>
          <w:rStyle w:val="CharStyle7"/>
        </w:rPr>
        <w:t xml:space="preserve">15) and in Germany EUR 2562 (n </w:t>
      </w:r>
      <w:r>
        <w:rPr>
          <w:rStyle w:val="CharStyle7"/>
          <w:sz w:val="14"/>
        </w:rPr>
        <w:t xml:space="preserve">= </w:t>
      </w:r>
      <w:r>
        <w:rPr>
          <w:rStyle w:val="CharStyle7"/>
        </w:rPr>
        <w:t xml:space="preserve">15). It is noteworthy that the foregone revenues go beyond observed costs and include different types of hidden and indirect costs</w:t>
      </w:r>
      <w:hyperlink w:anchor="bookmark72" w:tooltip="Current Document">
        <w:r>
          <w:rPr>
            <w:rStyle w:val="CharStyle7"/>
          </w:rPr>
          <w:t xml:space="preserve"> </w:t>
        </w:r>
        <w:r>
          <w:rPr>
            <w:rStyle w:val="CharStyle7"/>
            <w:color w:val="2196D1"/>
          </w:rPr>
          <w:t>[10,18,41,42,50,68,</w:t>
        </w:r>
      </w:hyperlink>
      <w:r>
        <w:rPr>
          <w:rStyle w:val="CharStyle7"/>
          <w:color w:val="2196D1"/>
        </w:rPr>
        <w:t xml:space="preserve"> </w:t>
      </w:r>
      <w:hyperlink w:anchor="bookmark72" w:tooltip="Current Document">
        <w:r>
          <w:rPr>
            <w:rStyle w:val="CharStyle7"/>
            <w:color w:val="2196D1"/>
          </w:rPr>
          <w:t>64]</w:t>
        </w:r>
      </w:hyperlink>
      <w:r>
        <w:rPr>
          <w:rStyle w:val="CharStyle7"/>
        </w:rPr>
        <w:t>.</w:t>
      </w:r>
    </w:p>
    <w:p>
      <w:pPr>
        <w:pStyle w:val="Style6"/>
        <w:keepNext w:val="0"/>
        <w:keepLines w:val="0"/>
        <w:widowControl w:val="0"/>
        <w:shd w:val="clear" w:color="auto" w:fill="auto"/>
        <w:spacing w:before="0" w:after="0"/>
        <w:ind w:left="0" w:right="0"/>
        <w:jc w:val="both"/>
      </w:pPr>
      <w:bookmarkStart w:id="14" w:name="bookmark14"/>
      <w:r>
        <w:rPr>
          <w:rStyle w:val="CharStyle7"/>
        </w:rPr>
        <w:t xml:space="preserve">The losses caused by systematically affecting job participation among coastal Fishers by adding to a Feeling of power sness regarding the </w:t>
      </w:r>
      <w:bookmarkEnd w:id="14"/>
      <w:r>
        <w:rPr>
          <w:rStyle w:val="CharStyle7"/>
        </w:rPr>
        <w:t xml:space="preserve">future of the fishery</w:t>
      </w:r>
      <w:hyperlink w:anchor="bookmark94" w:tooltip="Current Document">
        <w:r>
          <w:rPr>
            <w:rStyle w:val="CharStyle7"/>
          </w:rPr>
          <w:t xml:space="preserve"> </w:t>
        </w:r>
        <w:r>
          <w:rPr>
            <w:rStyle w:val="CharStyle7"/>
            <w:color w:val="2196D1"/>
          </w:rPr>
          <w:t>[33,4]</w:t>
        </w:r>
      </w:hyperlink>
      <w:r>
        <w:rPr>
          <w:rStyle w:val="CharStyle7"/>
        </w:rPr>
        <w:t xml:space="preserve">. The willingness to exit fishery increases with increased seal damages</w:t>
      </w:r>
      <w:hyperlink w:anchor="bookmark70" w:tooltip="Current Document">
        <w:r>
          <w:rPr>
            <w:rStyle w:val="CharStyle7"/>
          </w:rPr>
          <w:t xml:space="preserve"> </w:t>
        </w:r>
        <w:r>
          <w:rPr>
            <w:rStyle w:val="CharStyle7"/>
            <w:color w:val="2196D1"/>
          </w:rPr>
          <w:t>[8]</w:t>
        </w:r>
      </w:hyperlink>
      <w:r>
        <w:rPr>
          <w:rStyle w:val="CharStyle7"/>
        </w:rPr>
        <w:t xml:space="preserve">, and many Fishers are giving up. This has wide implications for coastal villages, for why the loss of fisheries livelihoods reflects their identity and cultural heritage</w:t>
      </w:r>
      <w:hyperlink w:anchor="bookmark94" w:tooltip="Current Document">
        <w:r>
          <w:rPr>
            <w:rStyle w:val="CharStyle7"/>
          </w:rPr>
          <w:t xml:space="preserve"> </w:t>
        </w:r>
        <w:r>
          <w:rPr>
            <w:rStyle w:val="CharStyle7"/>
            <w:color w:val="2196D1"/>
          </w:rPr>
          <w:t>[33]</w:t>
        </w:r>
      </w:hyperlink>
      <w:r>
        <w:rPr>
          <w:rStyle w:val="CharStyle7"/>
        </w:rPr>
        <w:t xml:space="preserve">. In the Baltic region, destinations are considered by Fishers to be the biggest threat to their livelihoods</w:t>
      </w:r>
      <w:hyperlink w:anchor="bookmark110" w:tooltip="Current Document">
        <w:r>
          <w:rPr>
            <w:rStyle w:val="CharStyle7"/>
          </w:rPr>
          <w:t xml:space="preserve"> </w:t>
        </w:r>
        <w:r>
          <w:rPr>
            <w:rStyle w:val="CharStyle7"/>
            <w:color w:val="2196D1"/>
          </w:rPr>
          <w:t>[60,68]</w:t>
        </w:r>
      </w:hyperlink>
      <w:r>
        <w:rPr>
          <w:rStyle w:val="CharStyle7"/>
        </w:rPr>
        <w:t>.</w:t>
      </w:r>
    </w:p>
    <w:p>
      <w:pPr>
        <w:pStyle w:val="Style6"/>
        <w:keepNext w:val="0"/>
        <w:keepLines w:val="0"/>
        <w:widowControl w:val="0"/>
        <w:shd w:val="clear" w:color="auto" w:fill="auto"/>
        <w:spacing w:before="0" w:after="0" w:line="293" w:lineRule="auto"/>
        <w:ind w:left="0" w:right="0"/>
        <w:jc w:val="both"/>
      </w:pPr>
      <w:r>
        <w:rPr>
          <w:rStyle w:val="CharStyle7"/>
        </w:rPr>
        <w:t xml:space="preserve">Variable non-lethal mitigation technologies such as seal-proof fishing gears and seal-deterring devices have been designed and applied to protect the fishing sector from the impact of seals</w:t>
      </w:r>
      <w:hyperlink w:anchor="bookmark92" w:tooltip="Current Document">
        <w:r>
          <w:rPr>
            <w:rStyle w:val="CharStyle7"/>
          </w:rPr>
          <w:t xml:space="preserve"> </w:t>
        </w:r>
        <w:r>
          <w:rPr>
            <w:rStyle w:val="CharStyle7"/>
            <w:color w:val="2196D1"/>
          </w:rPr>
          <w:t>[31,43,44,45,46,51,</w:t>
        </w:r>
      </w:hyperlink>
      <w:r>
        <w:rPr>
          <w:rStyle w:val="CharStyle7"/>
          <w:color w:val="2196D1"/>
        </w:rPr>
        <w:t xml:space="preserve"> </w:t>
      </w:r>
      <w:hyperlink w:anchor="bookmark92" w:tooltip="Current Document">
        <w:r>
          <w:rPr>
            <w:rStyle w:val="CharStyle7"/>
            <w:color w:val="2196D1"/>
          </w:rPr>
          <w:t>59,65]</w:t>
        </w:r>
      </w:hyperlink>
      <w:r>
        <w:rPr>
          <w:rStyle w:val="CharStyle7"/>
        </w:rPr>
        <w:t xml:space="preserve">. Rich these technologies help to reduce the catch losses in specific fisheries, they are still costly and technologically complex. It is not surprising that the fishing sector as well as Locals in traditional fishing villages prefer to control the number of seals to mitigate the damages and losses</w:t>
      </w:r>
      <w:hyperlink w:anchor="bookmark113" w:tooltip="Current Document">
        <w:r>
          <w:rPr>
            <w:rStyle w:val="CharStyle7"/>
          </w:rPr>
          <w:t xml:space="preserve"> </w:t>
        </w:r>
        <w:r>
          <w:rPr>
            <w:rStyle w:val="CharStyle7"/>
            <w:color w:val="2196D1"/>
          </w:rPr>
          <w:t>[66]</w:t>
        </w:r>
      </w:hyperlink>
      <w:r>
        <w:rPr>
          <w:rStyle w:val="CharStyle7"/>
        </w:rPr>
        <w:t>.</w:t>
      </w:r>
    </w:p>
    <w:p>
      <w:pPr>
        <w:pStyle w:val="Style6"/>
        <w:keepNext w:val="0"/>
        <w:keepLines w:val="0"/>
        <w:widowControl w:val="0"/>
        <w:shd w:val="clear" w:color="auto" w:fill="auto"/>
        <w:spacing w:before="0" w:after="0" w:line="293" w:lineRule="auto"/>
        <w:ind w:left="0" w:right="0"/>
        <w:jc w:val="both"/>
      </w:pPr>
      <w:r>
        <w:drawing>
          <wp:anchor distT="101600" distB="631825" distL="1144270" distR="1147445" simplePos="0" relativeHeight="62914696" behindDoc="1" locked="0" layoutInCell="1" allowOverlap="1">
            <wp:simplePos x="0" y="0"/>
            <wp:positionH relativeFrom="page">
              <wp:posOffset>1600835</wp:posOffset>
            </wp:positionH>
            <wp:positionV relativeFrom="margin">
              <wp:posOffset>2892425</wp:posOffset>
            </wp:positionV>
            <wp:extent cx="4572000" cy="5571490"/>
            <wp:wrapNone/>
            <wp:docPr id="19" name="SHAPE 19"/>
            <a:graphic xmlns:a="http://schemas.openxmlformats.org/drawingml/2006/main">
              <a:graphicData uri="http://schemas.openxmlformats.org/drawingml/2006/picture">
                <pic:pic xmlns:pic="http://schemas.openxmlformats.org/drawingml/2006/picture">
                  <pic:nvPicPr>
                    <pic:cNvPr id="20" name="Picture box 20"/>
                    <pic:cNvPicPr/>
                  </pic:nvPicPr>
                  <pic:blipFill>
                    <a:blip r:embed="rId13"/>
                    <a:stretch/>
                  </pic:blipFill>
                  <pic:spPr>
                    <a:xfrm>
                      <a:ext cx="4572000" cy="557149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4307205</wp:posOffset>
                </wp:positionH>
                <wp:positionV relativeFrom="margin">
                  <wp:posOffset>2892425</wp:posOffset>
                </wp:positionV>
                <wp:extent cx="207010" cy="115570"/>
                <wp:wrapNone/>
                <wp:docPr id="21" name="SHAPE 21"/>
                <a:graphic xmlns:a="http://schemas.openxmlformats.org/drawingml/2006/main">
                  <a:graphicData uri="http://schemas.microsoft.com/office/word/2010/wordprocessingShape">
                    <wps:wsp>
                      <wps:cNvSpPr txBox="1"/>
                      <wps:spPr>
                        <a:xfrm>
                          <a:ext cx="207010" cy="115570"/>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 xml:space="preserve">25 * E</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84" behindDoc="0" locked="0" layoutInCell="1" allowOverlap="1">
                <wp:simplePos x="0" y="0"/>
                <wp:positionH relativeFrom="page">
                  <wp:posOffset>4149090</wp:posOffset>
                </wp:positionH>
                <wp:positionV relativeFrom="margin">
                  <wp:posOffset>4133215</wp:posOffset>
                </wp:positionV>
                <wp:extent cx="243840" cy="121920"/>
                <wp:wrapNone/>
                <wp:docPr id="23" name="SHAPE 23"/>
                <a:graphic xmlns:a="http://schemas.openxmlformats.org/drawingml/2006/main">
                  <a:graphicData uri="http://schemas.microsoft.com/office/word/2010/wordprocessingShape">
                    <wps:wsp>
                      <wps:cNvSpPr txBox="1"/>
                      <wps:spPr>
                        <a:xfrm>
                          <a:ext cx="24384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b/>
                                <w:i/>
                                <w:color w:val="2B2D30"/>
                                <w:sz w:val="15"/>
                              </w:rPr>
                              <w:t>Inlan</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86" behindDoc="0" locked="0" layoutInCell="1" allowOverlap="1">
                <wp:simplePos x="0" y="0"/>
                <wp:positionH relativeFrom="page">
                  <wp:posOffset>4499610</wp:posOffset>
                </wp:positionH>
                <wp:positionV relativeFrom="margin">
                  <wp:posOffset>4968240</wp:posOffset>
                </wp:positionV>
                <wp:extent cx="454025" cy="130810"/>
                <wp:wrapNone/>
                <wp:docPr id="25" name="SHAPE 25"/>
                <a:graphic xmlns:a="http://schemas.openxmlformats.org/drawingml/2006/main">
                  <a:graphicData uri="http://schemas.microsoft.com/office/word/2010/wordprocessingShape">
                    <wps:wsp>
                      <wps:cNvSpPr txBox="1"/>
                      <wps:spPr>
                        <a:xfrm>
                          <a:ext cx="454025" cy="13081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b/>
                                <w:color w:val="595959"/>
                                <w:sz w:val="15"/>
                              </w:rPr>
                              <w:t>FINLAND</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88" behindDoc="0" locked="0" layoutInCell="1" allowOverlap="1">
                <wp:simplePos x="0" y="0"/>
                <wp:positionH relativeFrom="page">
                  <wp:posOffset>3469005</wp:posOffset>
                </wp:positionH>
                <wp:positionV relativeFrom="margin">
                  <wp:posOffset>5217795</wp:posOffset>
                </wp:positionV>
                <wp:extent cx="709930" cy="137160"/>
                <wp:wrapNone/>
                <wp:docPr id="27" name="SHAPE 27"/>
                <a:graphic xmlns:a="http://schemas.openxmlformats.org/drawingml/2006/main">
                  <a:graphicData uri="http://schemas.microsoft.com/office/word/2010/wordprocessingShape">
                    <wps:wsp>
                      <wps:cNvSpPr txBox="1"/>
                      <wps:spPr>
                        <a:xfrm>
                          <a:ext cx="709930" cy="13716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b/>
                                <w:color w:val="2B2D30"/>
                                <w:sz w:val="14"/>
                              </w:rPr>
                              <w:t xml:space="preserve">F </w:t>
                            </w:r>
                            <w:r>
                              <w:rPr>
                                <w:rStyle w:val="CharStyle30"/>
                                <w:rFonts w:ascii="Arial" w:hAnsi="Arial" w:cs="Arial" w:eastAsia="Arial"/>
                                <w:b/>
                                <w:i/>
                                <w:color w:val="2B2D30"/>
                                <w:sz w:val="15"/>
                              </w:rPr>
                              <w:t xml:space="preserve">Bo th ni an Set</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90" behindDoc="0" locked="0" layoutInCell="1" allowOverlap="1">
                <wp:simplePos x="0" y="0"/>
                <wp:positionH relativeFrom="page">
                  <wp:posOffset>2935605</wp:posOffset>
                </wp:positionH>
                <wp:positionV relativeFrom="margin">
                  <wp:posOffset>6040755</wp:posOffset>
                </wp:positionV>
                <wp:extent cx="460375" cy="125095"/>
                <wp:wrapNone/>
                <wp:docPr id="29" name="SHAPE 29"/>
                <a:graphic xmlns:a="http://schemas.openxmlformats.org/drawingml/2006/main">
                  <a:graphicData uri="http://schemas.microsoft.com/office/word/2010/wordprocessingShape">
                    <wps:wsp>
                      <wps:cNvSpPr txBox="1"/>
                      <wps:spPr>
                        <a:xfrm>
                          <a:ext cx="460375" cy="125095"/>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 xml:space="preserve">SWE ON</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92" behindDoc="0" locked="0" layoutInCell="1" allowOverlap="1">
                <wp:simplePos x="0" y="0"/>
                <wp:positionH relativeFrom="page">
                  <wp:posOffset>4508500</wp:posOffset>
                </wp:positionH>
                <wp:positionV relativeFrom="margin">
                  <wp:posOffset>6778625</wp:posOffset>
                </wp:positionV>
                <wp:extent cx="362585" cy="115570"/>
                <wp:wrapNone/>
                <wp:docPr id="31" name="SHAPE 31"/>
                <a:graphic xmlns:a="http://schemas.openxmlformats.org/drawingml/2006/main">
                  <a:graphicData uri="http://schemas.microsoft.com/office/word/2010/wordprocessingShape">
                    <wps:wsp>
                      <wps:cNvSpPr txBox="1"/>
                      <wps:spPr>
                        <a:xfrm>
                          <a:ext cx="362585" cy="11557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LATVIA</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94" behindDoc="0" locked="0" layoutInCell="1" allowOverlap="1">
                <wp:simplePos x="0" y="0"/>
                <wp:positionH relativeFrom="page">
                  <wp:posOffset>1600835</wp:posOffset>
                </wp:positionH>
                <wp:positionV relativeFrom="margin">
                  <wp:posOffset>6897370</wp:posOffset>
                </wp:positionV>
                <wp:extent cx="316865" cy="109855"/>
                <wp:wrapNone/>
                <wp:docPr id="33" name="SHAPE 33"/>
                <a:graphic xmlns:a="http://schemas.openxmlformats.org/drawingml/2006/main">
                  <a:graphicData uri="http://schemas.microsoft.com/office/word/2010/wordprocessingShape">
                    <wps:wsp>
                      <wps:cNvSpPr txBox="1"/>
                      <wps:spPr>
                        <a:xfrm>
                          <a:ext cx="316865" cy="109855"/>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 xml:space="preserve">56 * 30”</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96" behindDoc="0" locked="0" layoutInCell="1" allowOverlap="1">
                <wp:simplePos x="0" y="0"/>
                <wp:positionH relativeFrom="page">
                  <wp:posOffset>3499485</wp:posOffset>
                </wp:positionH>
                <wp:positionV relativeFrom="margin">
                  <wp:posOffset>7098665</wp:posOffset>
                </wp:positionV>
                <wp:extent cx="694690" cy="158750"/>
                <wp:wrapNone/>
                <wp:docPr id="35" name="SHAPE 35"/>
                <a:graphic xmlns:a="http://schemas.openxmlformats.org/drawingml/2006/main">
                  <a:graphicData uri="http://schemas.microsoft.com/office/word/2010/wordprocessingShape">
                    <wps:wsp>
                      <wps:cNvSpPr txBox="1"/>
                      <wps:spPr>
                        <a:xfrm>
                          <a:ext cx="694690" cy="158750"/>
                        </a:xfrm>
                        <a:prstGeom prst="rect"/>
                        <a:noFill/>
                      </wps:spPr>
                      <wps:txbx>
                        <w:txbxContent>
                          <w:p>
                            <w:pPr>
                              <w:pStyle w:val="Style29"/>
                              <w:keepNext w:val="0"/>
                              <w:keepLines w:val="0"/>
                              <w:widowControl w:val="0"/>
                              <w:shd w:val="clear" w:color="auto" w:fill="auto"/>
                              <w:spacing w:before="0" w:after="0" w:line="240" w:lineRule="auto"/>
                              <w:ind w:left="0" w:right="0" w:firstLine="0"/>
                              <w:jc w:val="center"/>
                              <w:rPr>
                                <w:sz w:val="15"/>
                              </w:rPr>
                            </w:pPr>
                            <w:r>
                              <w:rPr>
                                <w:rStyle w:val="CharStyle30"/>
                                <w:rFonts w:ascii="Arial" w:hAnsi="Arial" w:cs="Arial" w:eastAsia="Arial"/>
                                <w:b/>
                                <w:i/>
                                <w:color w:val="2B2D30"/>
                                <w:sz w:val="15"/>
                              </w:rPr>
                              <w:t xml:space="preserve">Southom Ba) ti</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498" behindDoc="0" locked="0" layoutInCell="1" allowOverlap="1">
                <wp:simplePos x="0" y="0"/>
                <wp:positionH relativeFrom="page">
                  <wp:posOffset>4447540</wp:posOffset>
                </wp:positionH>
                <wp:positionV relativeFrom="margin">
                  <wp:posOffset>7117080</wp:posOffset>
                </wp:positionV>
                <wp:extent cx="542290" cy="121920"/>
                <wp:wrapNone/>
                <wp:docPr id="37" name="SHAPE 37"/>
                <a:graphic xmlns:a="http://schemas.openxmlformats.org/drawingml/2006/main">
                  <a:graphicData uri="http://schemas.microsoft.com/office/word/2010/wordprocessingShape">
                    <wps:wsp>
                      <wps:cNvSpPr txBox="1"/>
                      <wps:spPr>
                        <a:xfrm>
                          <a:ext cx="54229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LITHUANIA</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00" behindDoc="0" locked="0" layoutInCell="1" allowOverlap="1">
                <wp:simplePos x="0" y="0"/>
                <wp:positionH relativeFrom="page">
                  <wp:posOffset>1790065</wp:posOffset>
                </wp:positionH>
                <wp:positionV relativeFrom="margin">
                  <wp:posOffset>7141210</wp:posOffset>
                </wp:positionV>
                <wp:extent cx="311150" cy="125095"/>
                <wp:wrapNone/>
                <wp:docPr id="39" name="SHAPE 39"/>
                <a:graphic xmlns:a="http://schemas.openxmlformats.org/drawingml/2006/main">
                  <a:graphicData uri="http://schemas.microsoft.com/office/word/2010/wordprocessingShape">
                    <wps:wsp>
                      <wps:cNvSpPr txBox="1"/>
                      <wps:spPr>
                        <a:xfrm>
                          <a:ext cx="311150" cy="125095"/>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 xml:space="preserve">DE JM</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02" behindDoc="0" locked="0" layoutInCell="1" allowOverlap="1">
                <wp:simplePos x="0" y="0"/>
                <wp:positionH relativeFrom="page">
                  <wp:posOffset>3557905</wp:posOffset>
                </wp:positionH>
                <wp:positionV relativeFrom="margin">
                  <wp:posOffset>7930515</wp:posOffset>
                </wp:positionV>
                <wp:extent cx="429895" cy="125095"/>
                <wp:wrapNone/>
                <wp:docPr id="41" name="SHAPE 41"/>
                <a:graphic xmlns:a="http://schemas.openxmlformats.org/drawingml/2006/main">
                  <a:graphicData uri="http://schemas.microsoft.com/office/word/2010/wordprocessingShape">
                    <wps:wsp>
                      <wps:cNvSpPr txBox="1"/>
                      <wps:spPr>
                        <a:xfrm>
                          <a:ext cx="429895" cy="125095"/>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POLAND</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04" behindDoc="0" locked="0" layoutInCell="1" allowOverlap="1">
                <wp:simplePos x="0" y="0"/>
                <wp:positionH relativeFrom="page">
                  <wp:posOffset>4810125</wp:posOffset>
                </wp:positionH>
                <wp:positionV relativeFrom="margin">
                  <wp:posOffset>5897880</wp:posOffset>
                </wp:positionV>
                <wp:extent cx="996950" cy="219710"/>
                <wp:wrapNone/>
                <wp:docPr id="43" name="SHAPE 43"/>
                <a:graphic xmlns:a="http://schemas.openxmlformats.org/drawingml/2006/main">
                  <a:graphicData uri="http://schemas.microsoft.com/office/word/2010/wordprocessingShape">
                    <wps:wsp>
                      <wps:cNvSpPr txBox="1"/>
                      <wps:spPr>
                        <a:xfrm>
                          <a:ext cx="996950" cy="219710"/>
                        </a:xfrm>
                        <a:prstGeom prst="rect"/>
                        <a:noFill/>
                      </wps:spPr>
                      <wps:txbx>
                        <w:txbxContent>
                          <w:p>
                            <w:pPr>
                              <w:pStyle w:val="Style29"/>
                              <w:keepNext w:val="0"/>
                              <w:keepLines w:val="0"/>
                              <w:widowControl w:val="0"/>
                              <w:shd w:val="clear" w:color="auto" w:fill="auto"/>
                              <w:tabs>
                                <w:tab w:pos="710" w:val="left"/>
                              </w:tabs>
                              <w:spacing w:before="0" w:after="0" w:line="240" w:lineRule="auto"/>
                              <w:ind w:left="0" w:right="0" w:firstLine="0"/>
                              <w:jc w:val="left"/>
                              <w:rPr>
                                <w:sz w:val="15"/>
                              </w:rPr>
                            </w:pPr>
                            <w:r>
                              <w:rPr>
                                <w:rStyle w:val="CharStyle30"/>
                                <w:rFonts w:ascii="Arial" w:hAnsi="Arial" w:cs="Arial" w:eastAsia="Arial"/>
                                <w:b/>
                                <w:color w:val="8B8B8B"/>
                                <w:sz w:val="15"/>
                              </w:rPr>
                              <w:t>•</w:t>
                              <w:tab/>
                              <w:t xml:space="preserve">) </w:t>
                            </w:r>
                            <w:r>
                              <w:rPr>
                                <w:rStyle w:val="CharStyle30"/>
                                <w:rFonts w:ascii="Arial" w:hAnsi="Arial" w:cs="Arial" w:eastAsia="Arial"/>
                                <w:b/>
                                <w:color w:val="717171"/>
                                <w:sz w:val="15"/>
                              </w:rPr>
                              <w:t>RUSSlA</w:t>
                            </w:r>
                          </w:p>
                          <w:p>
                            <w:pPr>
                              <w:pStyle w:val="Style29"/>
                              <w:keepNext w:val="0"/>
                              <w:keepLines w:val="0"/>
                              <w:widowControl w:val="0"/>
                              <w:shd w:val="clear" w:color="auto" w:fill="auto"/>
                              <w:spacing w:before="0" w:after="0" w:line="192" w:lineRule="auto"/>
                              <w:ind w:left="0" w:right="0" w:firstLine="0"/>
                              <w:jc w:val="left"/>
                              <w:rPr>
                                <w:sz w:val="15"/>
                              </w:rPr>
                            </w:pPr>
                            <w:r>
                              <w:rPr>
                                <w:rStyle w:val="CharStyle30"/>
                                <w:rFonts w:ascii="Arial" w:hAnsi="Arial" w:cs="Arial" w:eastAsia="Arial"/>
                                <w:b/>
                                <w:color w:val="717171"/>
                                <w:sz w:val="15"/>
                              </w:rPr>
                              <w:t xml:space="preserve">STONIA </w:t>
                            </w:r>
                            <w:r>
                              <w:rPr>
                                <w:rStyle w:val="CharStyle30"/>
                                <w:rFonts w:ascii="Arial" w:hAnsi="Arial" w:cs="Arial" w:eastAsia="Arial"/>
                                <w:b/>
                                <w:color w:val="8B8B8B"/>
                                <w:sz w:val="15"/>
                              </w:rPr>
                              <w:t>(</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06" behindDoc="0" locked="0" layoutInCell="1" allowOverlap="1">
                <wp:simplePos x="0" y="0"/>
                <wp:positionH relativeFrom="page">
                  <wp:posOffset>3642995</wp:posOffset>
                </wp:positionH>
                <wp:positionV relativeFrom="margin">
                  <wp:posOffset>2914015</wp:posOffset>
                </wp:positionV>
                <wp:extent cx="143510" cy="113030"/>
                <wp:wrapNone/>
                <wp:docPr id="45" name="SHAPE 45"/>
                <a:graphic xmlns:a="http://schemas.openxmlformats.org/drawingml/2006/main">
                  <a:graphicData uri="http://schemas.microsoft.com/office/word/2010/wordprocessingShape">
                    <wps:wsp>
                      <wps:cNvSpPr txBox="1"/>
                      <wps:spPr>
                        <a:xfrm>
                          <a:ext cx="143510" cy="113030"/>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 xml:space="preserve">__DUMMY__ 20</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08" behindDoc="0" locked="0" layoutInCell="1" allowOverlap="1">
                <wp:simplePos x="0" y="0"/>
                <wp:positionH relativeFrom="page">
                  <wp:posOffset>2430145</wp:posOffset>
                </wp:positionH>
                <wp:positionV relativeFrom="margin">
                  <wp:posOffset>2892425</wp:posOffset>
                </wp:positionV>
                <wp:extent cx="374650" cy="149225"/>
                <wp:wrapNone/>
                <wp:docPr id="47" name="SHAPE 47"/>
                <a:graphic xmlns:a="http://schemas.openxmlformats.org/drawingml/2006/main">
                  <a:graphicData uri="http://schemas.microsoft.com/office/word/2010/wordprocessingShape">
                    <wps:wsp>
                      <wps:cNvSpPr txBox="1"/>
                      <wps:spPr>
                        <a:xfrm>
                          <a:ext cx="374650" cy="149225"/>
                        </a:xfrm>
                        <a:prstGeom prst="rect"/>
                        <a:noFill/>
                      </wps:spPr>
                      <wps:txbx>
                        <w:txbxContent>
                          <w:p>
                            <w:pPr>
                              <w:pStyle w:val="Style29"/>
                              <w:keepNext w:val="0"/>
                              <w:keepLines w:val="0"/>
                              <w:widowControl w:val="0"/>
                              <w:shd w:val="clear" w:color="auto" w:fill="auto"/>
                              <w:tabs>
                                <w:tab w:pos="302" w:val="left"/>
                              </w:tabs>
                              <w:spacing w:before="0" w:after="0" w:line="0" w:lineRule="atLeast"/>
                              <w:ind w:left="140" w:right="0" w:hanging="140"/>
                              <w:jc w:val="left"/>
                            </w:pPr>
                            <w:r>
                              <w:rPr>
                                <w:rStyle w:val="CharStyle30"/>
                                <w:rFonts w:ascii="Arial" w:hAnsi="Arial" w:cs="Arial" w:eastAsia="Arial"/>
                                <w:b/>
                                <w:color w:val="717171"/>
                              </w:rPr>
                              <w:t xml:space="preserve">10 * E</w:t>
                            </w:r>
                            <w:r>
                              <w:rPr>
                                <w:rStyle w:val="CharStyle30"/>
                                <w:rFonts w:ascii="Arial" w:hAnsi="Arial" w:cs="Arial" w:eastAsia="Arial"/>
                                <w:b/>
                                <w:color w:val="8B8B8B"/>
                              </w:rPr>
                              <w:t>’</w:t>
                              <w:tab/>
                              <w:t xml:space="preserve">• IN</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10" behindDoc="0" locked="0" layoutInCell="1" allowOverlap="1">
                <wp:simplePos x="0" y="0"/>
                <wp:positionH relativeFrom="page">
                  <wp:posOffset>3786505</wp:posOffset>
                </wp:positionH>
                <wp:positionV relativeFrom="margin">
                  <wp:posOffset>2895600</wp:posOffset>
                </wp:positionV>
                <wp:extent cx="94615" cy="115570"/>
                <wp:wrapNone/>
                <wp:docPr id="49" name="SHAPE 49"/>
                <a:graphic xmlns:a="http://schemas.openxmlformats.org/drawingml/2006/main">
                  <a:graphicData uri="http://schemas.microsoft.com/office/word/2010/wordprocessingShape">
                    <wps:wsp>
                      <wps:cNvSpPr txBox="1"/>
                      <wps:spPr>
                        <a:xfrm>
                          <a:ext cx="94615" cy="115570"/>
                        </a:xfrm>
                        <a:prstGeom prst="rect"/>
                        <a:noFill/>
                      </wps:spPr>
                      <wps:txbx>
                        <w:txbxContent>
                          <w:p>
                            <w:pPr>
                              <w:pStyle w:val="Style29"/>
                              <w:keepNext w:val="0"/>
                              <w:keepLines w:val="0"/>
                              <w:widowControl w:val="0"/>
                              <w:shd w:val="clear" w:color="auto" w:fill="auto"/>
                              <w:spacing w:before="0" w:after="0" w:line="240" w:lineRule="auto"/>
                              <w:ind w:left="0" w:right="0" w:firstLine="0"/>
                              <w:jc w:val="both"/>
                              <w:rPr>
                                <w:sz w:val="14"/>
                              </w:rPr>
                            </w:pPr>
                            <w:r>
                              <w:rPr>
                                <w:rStyle w:val="CharStyle30"/>
                                <w:rFonts w:ascii="Arial" w:hAnsi="Arial" w:cs="Arial" w:eastAsia="Arial"/>
                                <w:b/>
                                <w:color w:val="595959"/>
                                <w:sz w:val="14"/>
                              </w:rPr>
                              <w:t>‘E</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12" behindDoc="0" locked="0" layoutInCell="1" allowOverlap="1">
                <wp:simplePos x="0" y="0"/>
                <wp:positionH relativeFrom="page">
                  <wp:posOffset>4965700</wp:posOffset>
                </wp:positionH>
                <wp:positionV relativeFrom="margin">
                  <wp:posOffset>2895600</wp:posOffset>
                </wp:positionV>
                <wp:extent cx="198120" cy="113030"/>
                <wp:wrapNone/>
                <wp:docPr id="51" name="SHAPE 51"/>
                <a:graphic xmlns:a="http://schemas.openxmlformats.org/drawingml/2006/main">
                  <a:graphicData uri="http://schemas.microsoft.com/office/word/2010/wordprocessingShape">
                    <wps:wsp>
                      <wps:cNvSpPr txBox="1"/>
                      <wps:spPr>
                        <a:xfrm>
                          <a:ext cx="198120" cy="113030"/>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30’E</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14" behindDoc="0" locked="0" layoutInCell="1" allowOverlap="1">
                <wp:simplePos x="0" y="0"/>
                <wp:positionH relativeFrom="page">
                  <wp:posOffset>5642610</wp:posOffset>
                </wp:positionH>
                <wp:positionV relativeFrom="margin">
                  <wp:posOffset>2892425</wp:posOffset>
                </wp:positionV>
                <wp:extent cx="204470" cy="115570"/>
                <wp:wrapNone/>
                <wp:docPr id="53" name="SHAPE 53"/>
                <a:graphic xmlns:a="http://schemas.openxmlformats.org/drawingml/2006/main">
                  <a:graphicData uri="http://schemas.microsoft.com/office/word/2010/wordprocessingShape">
                    <wps:wsp>
                      <wps:cNvSpPr txBox="1"/>
                      <wps:spPr>
                        <a:xfrm>
                          <a:ext cx="204470" cy="115570"/>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35’E</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16" behindDoc="0" locked="0" layoutInCell="1" allowOverlap="1">
                <wp:simplePos x="0" y="0"/>
                <wp:positionH relativeFrom="page">
                  <wp:posOffset>5852795</wp:posOffset>
                </wp:positionH>
                <wp:positionV relativeFrom="margin">
                  <wp:posOffset>6665595</wp:posOffset>
                </wp:positionV>
                <wp:extent cx="320040" cy="109855"/>
                <wp:wrapNone/>
                <wp:docPr id="55" name="SHAPE 55"/>
                <a:graphic xmlns:a="http://schemas.openxmlformats.org/drawingml/2006/main">
                  <a:graphicData uri="http://schemas.microsoft.com/office/word/2010/wordprocessingShape">
                    <wps:wsp>
                      <wps:cNvSpPr txBox="1"/>
                      <wps:spPr>
                        <a:xfrm>
                          <a:ext cx="320040" cy="109855"/>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rFonts w:ascii="Arial" w:hAnsi="Arial" w:cs="Arial" w:eastAsia="Arial"/>
                                <w:b/>
                                <w:color w:val="717171"/>
                              </w:rPr>
                              <w:t xml:space="preserve">56 * 30”</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18" behindDoc="0" locked="0" layoutInCell="1" allowOverlap="1">
                <wp:simplePos x="0" y="0"/>
                <wp:positionH relativeFrom="page">
                  <wp:posOffset>2274570</wp:posOffset>
                </wp:positionH>
                <wp:positionV relativeFrom="margin">
                  <wp:posOffset>7930515</wp:posOffset>
                </wp:positionV>
                <wp:extent cx="533400" cy="121920"/>
                <wp:wrapNone/>
                <wp:docPr id="57" name="SHAPE 57"/>
                <a:graphic xmlns:a="http://schemas.openxmlformats.org/drawingml/2006/main">
                  <a:graphicData uri="http://schemas.microsoft.com/office/word/2010/wordprocessingShape">
                    <wps:wsp>
                      <wps:cNvSpPr txBox="1"/>
                      <wps:spPr>
                        <a:xfrm>
                          <a:ext cx="53340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b/>
                                <w:color w:val="3F3F3F"/>
                                <w:sz w:val="15"/>
                              </w:rPr>
                              <w:t>GERMANY</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20" behindDoc="0" locked="0" layoutInCell="1" allowOverlap="1">
                <wp:simplePos x="0" y="0"/>
                <wp:positionH relativeFrom="page">
                  <wp:posOffset>5368290</wp:posOffset>
                </wp:positionH>
                <wp:positionV relativeFrom="margin">
                  <wp:posOffset>8101330</wp:posOffset>
                </wp:positionV>
                <wp:extent cx="301625" cy="237490"/>
                <wp:wrapNone/>
                <wp:docPr id="59" name="SHAPE 59"/>
                <a:graphic xmlns:a="http://schemas.openxmlformats.org/drawingml/2006/main">
                  <a:graphicData uri="http://schemas.microsoft.com/office/word/2010/wordprocessingShape">
                    <wps:wsp>
                      <wps:cNvSpPr txBox="1"/>
                      <wps:spPr>
                        <a:xfrm>
                          <a:ext cx="301625" cy="237490"/>
                        </a:xfrm>
                        <a:prstGeom prst="rect"/>
                        <a:noFill/>
                      </wps:spPr>
                      <wps:txbx>
                        <w:txbxContent>
                          <w:p>
                            <w:pPr>
                              <w:pStyle w:val="Style29"/>
                              <w:keepNext w:val="0"/>
                              <w:keepLines w:val="0"/>
                              <w:widowControl w:val="0"/>
                              <w:shd w:val="clear" w:color="auto" w:fill="auto"/>
                              <w:spacing w:before="0" w:after="0" w:line="288" w:lineRule="auto"/>
                              <w:ind w:left="0" w:right="0" w:firstLine="0"/>
                              <w:jc w:val="left"/>
                            </w:pPr>
                            <w:r>
                              <w:rPr>
                                <w:rStyle w:val="CharStyle30"/>
                                <w:color w:val="8B8B8B"/>
                              </w:rPr>
                              <w:t xml:space="preserve">280 km _l</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22" behindDoc="0" locked="0" layoutInCell="1" allowOverlap="1">
                <wp:simplePos x="0" y="0"/>
                <wp:positionH relativeFrom="page">
                  <wp:posOffset>570865</wp:posOffset>
                </wp:positionH>
                <wp:positionV relativeFrom="margin">
                  <wp:posOffset>8534400</wp:posOffset>
                </wp:positionV>
                <wp:extent cx="6635750" cy="304800"/>
                <wp:wrapNone/>
                <wp:docPr id="61" name="SHAPE 61"/>
                <a:graphic xmlns:a="http://schemas.openxmlformats.org/drawingml/2006/main">
                  <a:graphicData uri="http://schemas.microsoft.com/office/word/2010/wordprocessingShape">
                    <wps:wsp>
                      <wps:cNvSpPr txBox="1"/>
                      <wps:spPr>
                        <a:xfrm>
                          <a:ext cx="6635750" cy="304800"/>
                        </a:xfrm>
                        <a:prstGeom prst="rect"/>
                        <a:noFill/>
                      </wps:spPr>
                      <wps:txbx>
                        <w:txbxContent>
                          <w:p>
                            <w:pPr>
                              <w:pStyle w:val="Style29"/>
                              <w:keepNext w:val="0"/>
                              <w:keepLines w:val="0"/>
                              <w:widowControl w:val="0"/>
                              <w:shd w:val="clear" w:color="auto" w:fill="auto"/>
                              <w:spacing w:before="0" w:after="0" w:line="324" w:lineRule="auto"/>
                              <w:ind w:left="0" w:right="0" w:firstLine="0"/>
                              <w:jc w:val="left"/>
                            </w:pPr>
                            <w:r>
                              <w:rPr>
                                <w:rStyle w:val="CharStyle30"/>
                                <w:b/>
                              </w:rPr>
                              <w:t xml:space="preserve">Fig. 1. </w:t>
                            </w:r>
                            <w:r>
                              <w:rPr>
                                <w:rStyle w:val="CharStyle30"/>
                              </w:rPr>
                              <w:t xml:space="preserve">MAP of the Baltic Sea. The main distribution area of Baltic grey seal population is marked with a red circle (according to</w:t>
                            </w:r>
                            <w:hyperlink w:anchor="bookmark116" w:tooltip="Current Document">
                              <w:r>
                                <w:rPr>
                                  <w:rStyle w:val="CharStyle30"/>
                                </w:rPr>
                                <w:t xml:space="preserve"> </w:t>
                              </w:r>
                              <w:r>
                                <w:rPr>
                                  <w:rStyle w:val="CharStyle30"/>
                                  <w:color w:val="2196D1"/>
                                </w:rPr>
                                <w:t>[69]</w:t>
                              </w:r>
                            </w:hyperlink>
                            <w:r>
                              <w:rPr>
                                <w:rStyle w:val="CharStyle30"/>
                              </w:rPr>
                              <w:t xml:space="preserve">). The latitude 56</w:t>
                            </w:r>
                            <w:r>
                              <w:rPr>
                                <w:rStyle w:val="CharStyle30"/>
                                <w:vertAlign w:val="superscript"/>
                              </w:rPr>
                              <w:t>‘</w:t>
                            </w:r>
                            <w:r>
                              <w:rPr>
                                <w:rStyle w:val="CharStyle30"/>
                                <w:rFonts w:ascii="Courier New" w:hAnsi="Arial"/>
                              </w:rPr>
                              <w:t xml:space="preserve">N marks the line below which is the southern Baltic Sea’.</w:t>
                            </w:r>
                          </w:p>
                        </w:txbxContent>
                      </wps:txbx>
                      <wps:bodyPr lIns="0" tIns="0" rIns="0" bIns="0">
                        <a:noAutoFit/>
                      </wps:bodyPr>
                    </wps:wsp>
                  </a:graphicData>
                </a:graphic>
              </wp:anchor>
            </w:drawing>
          </mc:Choice>
        </mc:AlternateContent>
      </w:r>
      <w:r>
        <w:rPr>
          <w:rStyle w:val="CharStyle7"/>
        </w:rPr>
        <w:t xml:space="preserve">The management regime of grey seal population in the Baltic Sea was established in an ecological and socio-economic situation resulting from the one found today. This study assesses the criteria set in place by public institutions governing seal management in the Baltic Sea. The primary objective is to oversee a new balance between man</w:t>
        <w:softHyphen/>
        <w:t xml:space="preserve">agement of grey seal populations and coastal fisheries is Attainable. In</w:t>
      </w:r>
      <w:r>
        <w:br w:type="page"/>
      </w:r>
    </w:p>
    <w:p>
      <w:pPr>
        <w:pStyle w:val="Style6"/>
        <w:keepNext w:val="0"/>
        <w:keepLines w:val="0"/>
        <w:widowControl w:val="0"/>
        <w:shd w:val="clear" w:color="auto" w:fill="auto"/>
        <w:spacing w:before="0" w:after="120" w:line="74" w:lineRule="exact"/>
        <w:ind w:left="0" w:right="0" w:firstLine="340"/>
        <w:jc w:val="both"/>
        <w:rPr>
          <w:sz w:val="14"/>
        </w:rPr>
      </w:pPr>
      <w:r>
        <w:rPr>
          <w:rStyle w:val="CharStyle7"/>
          <w:b/>
          <w:color w:val="2B2D30"/>
          <w:sz w:val="14"/>
        </w:rPr>
        <w:t xml:space="preserve">45 000</w:t>
      </w:r>
    </w:p>
    <w:p>
      <w:pPr>
        <w:pStyle w:val="Style6"/>
        <w:keepNext w:val="0"/>
        <w:keepLines w:val="0"/>
        <w:widowControl w:val="0"/>
        <w:shd w:val="clear" w:color="auto" w:fill="auto"/>
        <w:spacing w:before="0" w:after="0" w:line="72" w:lineRule="exact"/>
        <w:ind w:left="140" w:right="0" w:firstLine="20"/>
        <w:jc w:val="both"/>
        <w:rPr>
          <w:sz w:val="14"/>
        </w:rPr>
      </w:pPr>
      <w:r>
        <w:rPr>
          <w:rStyle w:val="CharStyle7"/>
          <w:b/>
          <w:color w:val="2B2D30"/>
          <w:sz w:val="14"/>
        </w:rPr>
        <w:t xml:space="preserve">• g 40 000 nj</w:t>
      </w:r>
    </w:p>
    <w:p>
      <w:pPr>
        <w:pStyle w:val="Style23"/>
        <w:keepNext w:val="0"/>
        <w:keepLines w:val="0"/>
        <w:widowControl w:val="0"/>
        <w:shd w:val="clear" w:color="auto" w:fill="auto"/>
        <w:spacing w:before="0" w:after="0" w:line="132" w:lineRule="auto"/>
        <w:ind w:left="0" w:right="0" w:firstLine="140"/>
        <w:jc w:val="both"/>
      </w:pPr>
      <w:r>
        <w:rPr>
          <w:rStyle w:val="CharStyle24"/>
          <w:color w:val="2B2D30"/>
        </w:rPr>
        <w:t>(0)</w:t>
      </w:r>
    </w:p>
    <w:p>
      <w:pPr>
        <w:pStyle w:val="Style6"/>
        <w:keepNext w:val="0"/>
        <w:keepLines w:val="0"/>
        <w:widowControl w:val="0"/>
        <w:shd w:val="clear" w:color="auto" w:fill="auto"/>
        <w:spacing w:before="0" w:after="0" w:line="74" w:lineRule="exact"/>
        <w:ind w:left="0" w:right="0" w:firstLine="140"/>
        <w:jc w:val="both"/>
        <w:rPr>
          <w:sz w:val="14"/>
        </w:rPr>
      </w:pPr>
      <w:r>
        <w:rPr>
          <w:rStyle w:val="CharStyle7"/>
          <w:b/>
          <w:color w:val="2B2D30"/>
          <w:sz w:val="14"/>
        </w:rPr>
        <w:t xml:space="preserve">‘35 000</w:t>
      </w:r>
    </w:p>
    <w:p>
      <w:pPr>
        <w:pStyle w:val="Style6"/>
        <w:keepNext w:val="0"/>
        <w:keepLines w:val="0"/>
        <w:widowControl w:val="0"/>
        <w:shd w:val="clear" w:color="auto" w:fill="auto"/>
        <w:spacing w:before="0" w:after="0" w:line="74" w:lineRule="exact"/>
        <w:ind w:left="140" w:right="0" w:firstLine="20"/>
        <w:jc w:val="both"/>
        <w:rPr>
          <w:sz w:val="14"/>
        </w:rPr>
      </w:pPr>
      <w:r>
        <w:rPr>
          <w:rStyle w:val="CharStyle7"/>
          <w:b/>
          <w:color w:val="2B2D30"/>
          <w:sz w:val="14"/>
        </w:rPr>
        <w:t xml:space="preserve">• U</w:t>
      </w:r>
    </w:p>
    <w:p>
      <w:pPr>
        <w:pStyle w:val="Style6"/>
        <w:keepNext w:val="0"/>
        <w:keepLines w:val="0"/>
        <w:widowControl w:val="0"/>
        <w:shd w:val="clear" w:color="auto" w:fill="auto"/>
        <w:spacing w:before="0" w:after="0" w:line="77" w:lineRule="exact"/>
        <w:ind w:left="140" w:right="0" w:firstLine="20"/>
        <w:jc w:val="both"/>
        <w:rPr>
          <w:sz w:val="14"/>
        </w:rPr>
      </w:pPr>
      <w:r>
        <w:rPr>
          <w:rStyle w:val="CharStyle7"/>
          <w:b/>
          <w:color w:val="2B2D30"/>
          <w:sz w:val="14"/>
        </w:rPr>
        <w:t xml:space="preserve">2 30 000 point c</w:t>
      </w:r>
    </w:p>
    <w:p>
      <w:pPr>
        <w:pStyle w:val="Style6"/>
        <w:keepNext w:val="0"/>
        <w:keepLines w:val="0"/>
        <w:widowControl w:val="0"/>
        <w:shd w:val="clear" w:color="auto" w:fill="auto"/>
        <w:spacing w:before="0" w:after="120" w:line="74" w:lineRule="exact"/>
        <w:ind w:left="140" w:right="0" w:firstLine="20"/>
        <w:jc w:val="both"/>
        <w:rPr>
          <w:sz w:val="14"/>
        </w:rPr>
      </w:pPr>
      <w:r>
        <w:rPr>
          <w:rStyle w:val="CharStyle7"/>
          <w:b/>
          <w:color w:val="2B2D30"/>
          <w:sz w:val="14"/>
        </w:rPr>
        <w:t xml:space="preserve">o 25 000</w:t>
      </w:r>
    </w:p>
    <w:p>
      <w:pPr>
        <w:pStyle w:val="Style6"/>
        <w:keepNext w:val="0"/>
        <w:keepLines w:val="0"/>
        <w:widowControl w:val="0"/>
        <w:shd w:val="clear" w:color="auto" w:fill="auto"/>
        <w:spacing w:before="0" w:after="120" w:line="74" w:lineRule="exact"/>
        <w:ind w:left="140" w:right="0" w:firstLine="20"/>
        <w:jc w:val="both"/>
        <w:rPr>
          <w:sz w:val="14"/>
        </w:rPr>
      </w:pPr>
      <w:r>
        <w:rPr>
          <w:rStyle w:val="CharStyle7"/>
          <w:b/>
          <w:color w:val="2B2D30"/>
          <w:sz w:val="14"/>
        </w:rPr>
        <w:t xml:space="preserve">o 20 000</w:t>
      </w:r>
    </w:p>
    <w:p>
      <w:pPr>
        <w:pStyle w:val="Style6"/>
        <w:keepNext w:val="0"/>
        <w:keepLines w:val="0"/>
        <w:widowControl w:val="0"/>
        <w:shd w:val="clear" w:color="auto" w:fill="auto"/>
        <w:spacing w:before="0" w:after="0" w:line="74" w:lineRule="exact"/>
        <w:ind w:left="140" w:right="0" w:firstLine="20"/>
        <w:jc w:val="both"/>
        <w:rPr>
          <w:sz w:val="14"/>
        </w:rPr>
      </w:pPr>
      <w:r>
        <w:rPr>
          <w:rStyle w:val="CharStyle7"/>
          <w:b/>
          <w:color w:val="2B2D30"/>
          <w:sz w:val="14"/>
        </w:rPr>
        <w:t xml:space="preserve">| 15 000</w:t>
      </w:r>
    </w:p>
    <w:p>
      <w:pPr>
        <w:pStyle w:val="Style6"/>
        <w:keepNext w:val="0"/>
        <w:keepLines w:val="0"/>
        <w:widowControl w:val="0"/>
        <w:shd w:val="clear" w:color="auto" w:fill="auto"/>
        <w:spacing w:before="0" w:after="120" w:line="74" w:lineRule="exact"/>
        <w:ind w:left="140" w:right="0" w:firstLine="20"/>
        <w:jc w:val="both"/>
        <w:rPr>
          <w:sz w:val="14"/>
        </w:rPr>
      </w:pPr>
      <w:r>
        <w:rPr>
          <w:rStyle w:val="CharStyle7"/>
          <w:b/>
          <w:color w:val="2B2D30"/>
          <w:sz w:val="14"/>
          <w:vertAlign w:val="superscript"/>
        </w:rPr>
        <w:t>2</w:t>
      </w:r>
      <w:r>
        <w:rPr>
          <w:rStyle w:val="CharStyle7"/>
          <w:b/>
          <w:color w:val="2B2D30"/>
          <w:sz w:val="14"/>
        </w:rPr>
        <w:t xml:space="preserve"> 10 000</w:t>
      </w:r>
    </w:p>
    <w:p>
      <w:pPr>
        <w:pStyle w:val="Style6"/>
        <w:keepNext w:val="0"/>
        <w:keepLines w:val="0"/>
        <w:widowControl w:val="0"/>
        <w:shd w:val="clear" w:color="auto" w:fill="auto"/>
        <w:spacing w:before="0" w:after="120" w:line="74" w:lineRule="exact"/>
        <w:ind w:left="0" w:right="0" w:firstLine="440"/>
        <w:jc w:val="both"/>
        <w:rPr>
          <w:sz w:val="14"/>
        </w:rPr>
      </w:pPr>
      <w:r>
        <w:rPr>
          <w:rStyle w:val="CharStyle7"/>
          <w:b/>
          <w:color w:val="2B2D30"/>
          <w:sz w:val="14"/>
        </w:rPr>
        <w:t xml:space="preserve">5 000</w:t>
      </w:r>
    </w:p>
    <w:p>
      <w:pPr>
        <w:pStyle w:val="Style6"/>
        <w:keepNext w:val="0"/>
        <w:keepLines w:val="0"/>
        <w:widowControl w:val="0"/>
        <w:shd w:val="clear" w:color="auto" w:fill="auto"/>
        <w:spacing w:before="0" w:after="340" w:line="74" w:lineRule="exact"/>
        <w:ind w:left="0" w:right="0" w:firstLine="720"/>
        <w:jc w:val="both"/>
        <w:rPr>
          <w:sz w:val="14"/>
        </w:rPr>
      </w:pPr>
      <w:r>
        <w:rPr>
          <w:rStyle w:val="CharStyle7"/>
          <w:b/>
          <w:color w:val="2B2D30"/>
          <w:sz w:val="14"/>
        </w:rPr>
        <w:t>0</w:t>
      </w:r>
    </w:p>
    <w:p>
      <w:pPr>
        <w:pStyle w:val="Style6"/>
        <w:keepNext w:val="0"/>
        <w:keepLines w:val="0"/>
        <w:widowControl w:val="0"/>
        <w:shd w:val="clear" w:color="auto" w:fill="auto"/>
        <w:spacing w:before="0" w:after="120" w:line="240" w:lineRule="auto"/>
        <w:ind w:left="2700" w:right="0" w:firstLine="0"/>
        <w:jc w:val="left"/>
        <w:rPr>
          <w:sz w:val="14"/>
        </w:rPr>
      </w:pPr>
      <w:r>
        <w:drawing>
          <wp:anchor distT="288925" distB="0" distL="38100" distR="248285" simplePos="0" relativeHeight="125829388" behindDoc="0" locked="0" layoutInCell="1" allowOverlap="1">
            <wp:simplePos x="0" y="0"/>
            <wp:positionH relativeFrom="page">
              <wp:posOffset>1145540</wp:posOffset>
            </wp:positionH>
            <wp:positionV relativeFrom="margin">
              <wp:posOffset>320040</wp:posOffset>
            </wp:positionV>
            <wp:extent cx="2298065" cy="847090"/>
            <wp:wrapSquare wrapText="left"/>
            <wp:docPr id="63" name="SHAPE 63"/>
            <a:graphic xmlns:a="http://schemas.openxmlformats.org/drawingml/2006/main">
              <a:graphicData uri="http://schemas.openxmlformats.org/drawingml/2006/picture">
                <pic:pic xmlns:pic="http://schemas.openxmlformats.org/drawingml/2006/picture">
                  <pic:nvPicPr>
                    <pic:cNvPr id="64" name="Picture box 64"/>
                    <pic:cNvPicPr/>
                  </pic:nvPicPr>
                  <pic:blipFill>
                    <a:blip r:embed="rId15"/>
                    <a:stretch/>
                  </pic:blipFill>
                  <pic:spPr>
                    <a:xfrm>
                      <a:ext cx="2298065" cy="847090"/>
                    </a:xfrm>
                    <a:prstGeom prst="rect"/>
                  </pic:spPr>
                </pic:pic>
              </a:graphicData>
            </a:graphic>
          </wp:anchor>
        </w:drawing>
      </w:r>
      <w:r>
        <mc:AlternateContent>
          <mc:Choice Requires="wps">
            <w:drawing>
              <wp:anchor distT="0" distB="0" distL="0" distR="0" simplePos="0" relativeHeight="503316524" behindDoc="0" locked="0" layoutInCell="1" allowOverlap="1">
                <wp:simplePos x="0" y="0"/>
                <wp:positionH relativeFrom="page">
                  <wp:posOffset>2867660</wp:posOffset>
                </wp:positionH>
                <wp:positionV relativeFrom="margin">
                  <wp:posOffset>170815</wp:posOffset>
                </wp:positionV>
                <wp:extent cx="783590" cy="155575"/>
                <wp:wrapNone/>
                <wp:docPr id="65" name="SHAPE 65"/>
                <a:graphic xmlns:a="http://schemas.openxmlformats.org/drawingml/2006/main">
                  <a:graphicData uri="http://schemas.microsoft.com/office/word/2010/wordprocessingShape">
                    <wps:wsp>
                      <wps:cNvSpPr txBox="1"/>
                      <wps:spPr>
                        <a:xfrm>
                          <a:ext cx="783590" cy="155575"/>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3F3F3F"/>
                                <w:sz w:val="14"/>
                              </w:rPr>
                              <w:t xml:space="preserve">y = </w:t>
                            </w:r>
                            <w:r>
                              <w:rPr>
                                <w:rStyle w:val="CharStyle30"/>
                                <w:rFonts w:ascii="Arial" w:hAnsi="Arial" w:cs="Arial" w:eastAsia="Arial"/>
                                <w:b/>
                                <w:sz w:val="14"/>
                              </w:rPr>
                              <w:t xml:space="preserve">7E-40e° '</w:t>
                            </w:r>
                            <w:r>
                              <w:rPr>
                                <w:rStyle w:val="CharStyle30"/>
                                <w:rFonts w:ascii="Arial" w:hAnsi="Arial" w:cs="Arial" w:eastAsia="Arial"/>
                                <w:b/>
                                <w:sz w:val="14"/>
                                <w:vertAlign w:val="superscript"/>
                              </w:rPr>
                              <w:t>M</w:t>
                            </w:r>
                            <w:r>
                              <w:rPr>
                                <w:rStyle w:val="CharStyle30"/>
                                <w:rFonts w:ascii="Arial" w:hAnsi="Arial" w:cs="Arial" w:eastAsia="Arial"/>
                                <w:b/>
                                <w:sz w:val="14"/>
                              </w:rPr>
                              <w:t>2</w:t>
                            </w:r>
                            <w:r>
                              <w:rPr>
                                <w:rStyle w:val="CharStyle30"/>
                                <w:rFonts w:ascii="Arial" w:hAnsi="Arial" w:cs="Arial" w:eastAsia="Arial"/>
                                <w:b/>
                                <w:sz w:val="14"/>
                                <w:vertAlign w:val="superscript"/>
                              </w:rPr>
                              <w:t>8</w:t>
                            </w:r>
                            <w:r>
                              <w:rPr>
                                <w:rStyle w:val="CharStyle30"/>
                                <w:rFonts w:ascii="Arial" w:hAnsi="Arial" w:cs="Arial" w:eastAsia="Arial"/>
                                <w:b/>
                                <w:sz w:val="14"/>
                              </w:rPr>
                              <w:t xml:space="preserve">*. *</w:t>
                            </w:r>
                          </w:p>
                        </w:txbxContent>
                      </wps:txbx>
                      <wps:bodyPr lIns="0" tIns="0" rIns="0" bIns="0">
                        <a:noAutoFit/>
                      </wps:bodyPr>
                    </wps:wsp>
                  </a:graphicData>
                </a:graphic>
              </wp:anchor>
            </w:drawing>
          </mc:Choice>
        </mc:AlternateContent>
      </w:r>
      <w:r>
        <w:drawing>
          <wp:anchor distT="149225" distB="170815" distL="76200" distR="73025" simplePos="0" relativeHeight="125829389" behindDoc="0" locked="0" layoutInCell="1" allowOverlap="1">
            <wp:simplePos x="0" y="0"/>
            <wp:positionH relativeFrom="page">
              <wp:posOffset>1136015</wp:posOffset>
            </wp:positionH>
            <wp:positionV relativeFrom="margin">
              <wp:posOffset>1490345</wp:posOffset>
            </wp:positionV>
            <wp:extent cx="2505710" cy="237490"/>
            <wp:wrapTight wrapText="left">
              <wp:wrapPolygon>
                <wp:start x="0" y="0"/>
                <wp:lineTo x="21600" y="0"/>
                <wp:lineTo x="21600" y="21600"/>
                <wp:lineTo x="0" y="21600"/>
                <wp:lineTo x="0" y="0"/>
              </wp:wrapPolygon>
            </wp:wrapTight>
            <wp:docPr id="67" name="SHAPE 67"/>
            <a:graphic xmlns:a="http://schemas.openxmlformats.org/drawingml/2006/main">
              <a:graphicData uri="http://schemas.openxmlformats.org/drawingml/2006/picture">
                <pic:pic xmlns:pic="http://schemas.openxmlformats.org/drawingml/2006/picture">
                  <pic:nvPicPr>
                    <pic:cNvPr id="68" name="Picture box 68"/>
                    <pic:cNvPicPr/>
                  </pic:nvPicPr>
                  <pic:blipFill>
                    <a:blip r:embed="rId17"/>
                    <a:stretch/>
                  </pic:blipFill>
                  <pic:spPr>
                    <a:xfrm>
                      <a:ext cx="2505710" cy="237490"/>
                    </a:xfrm>
                    <a:prstGeom prst="rect"/>
                  </pic:spPr>
                </pic:pic>
              </a:graphicData>
            </a:graphic>
          </wp:anchor>
        </w:drawing>
      </w:r>
      <w:r>
        <mc:AlternateContent>
          <mc:Choice Requires="wps">
            <w:drawing>
              <wp:anchor distT="0" distB="0" distL="0" distR="0" simplePos="0" relativeHeight="503316526" behindDoc="0" locked="0" layoutInCell="1" allowOverlap="1">
                <wp:simplePos x="0" y="0"/>
                <wp:positionH relativeFrom="page">
                  <wp:posOffset>2894965</wp:posOffset>
                </wp:positionH>
                <wp:positionV relativeFrom="margin">
                  <wp:posOffset>1341120</wp:posOffset>
                </wp:positionV>
                <wp:extent cx="743585" cy="143510"/>
                <wp:wrapNone/>
                <wp:docPr id="69" name="SHAPE 69"/>
                <a:graphic xmlns:a="http://schemas.openxmlformats.org/drawingml/2006/main">
                  <a:graphicData uri="http://schemas.microsoft.com/office/word/2010/wordprocessingShape">
                    <wps:wsp>
                      <wps:cNvSpPr txBox="1"/>
                      <wps:spPr>
                        <a:xfrm>
                          <a:ext cx="743585" cy="14351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3F3F3F"/>
                                <w:sz w:val="14"/>
                              </w:rPr>
                              <w:t xml:space="preserve">y = 7e-135e</w:t>
                            </w:r>
                            <w:r>
                              <w:rPr>
                                <w:rStyle w:val="CharStyle30"/>
                                <w:rFonts w:ascii="Arial" w:hAnsi="Arial" w:cs="Arial" w:eastAsia="Arial"/>
                                <w:b/>
                                <w:color w:val="3F3F3F"/>
                                <w:sz w:val="14"/>
                                <w:vertAlign w:val="superscript"/>
                              </w:rPr>
                              <w:t>W571x</w:t>
                            </w:r>
                          </w:p>
                        </w:txbxContent>
                      </wps:txbx>
                      <wps:bodyPr lIns="0" tIns="0" rIns="0" bIns="0">
                        <a:noAutoFit/>
                      </wps:bodyPr>
                    </wps:wsp>
                  </a:graphicData>
                </a:graphic>
              </wp:anchor>
            </w:drawing>
          </mc:Choice>
        </mc:AlternateContent>
      </w:r>
      <w:r>
        <mc:AlternateContent>
          <mc:Choice Requires="wps">
            <w:drawing>
              <wp:anchor distT="0" distB="0" distL="0" distR="0" simplePos="0" relativeHeight="503316528" behindDoc="0" locked="0" layoutInCell="1" allowOverlap="1">
                <wp:simplePos x="0" y="0"/>
                <wp:positionH relativeFrom="page">
                  <wp:posOffset>1059815</wp:posOffset>
                </wp:positionH>
                <wp:positionV relativeFrom="margin">
                  <wp:posOffset>1773555</wp:posOffset>
                </wp:positionV>
                <wp:extent cx="2651760" cy="121920"/>
                <wp:wrapNone/>
                <wp:docPr id="71" name="SHAPE 71"/>
                <a:graphic xmlns:a="http://schemas.openxmlformats.org/drawingml/2006/main">
                  <a:graphicData uri="http://schemas.microsoft.com/office/word/2010/wordprocessingShape">
                    <wps:wsp>
                      <wps:cNvSpPr txBox="1"/>
                      <wps:spPr>
                        <a:xfrm>
                          <a:ext cx="2651760" cy="121920"/>
                        </a:xfrm>
                        <a:prstGeom prst="rect"/>
                        <a:noFill/>
                      </wps:spPr>
                      <wps:txbx>
                        <w:txbxContent>
                          <w:p>
                            <w:pPr>
                              <w:pStyle w:val="Style29"/>
                              <w:keepNext w:val="0"/>
                              <w:keepLines w:val="0"/>
                              <w:widowControl w:val="0"/>
                              <w:shd w:val="clear" w:color="auto" w:fill="auto"/>
                              <w:tabs>
                                <w:tab w:pos="629" w:val="left"/>
                                <w:tab w:pos="1267" w:val="left"/>
                                <w:tab w:pos="1901" w:val="left"/>
                                <w:tab w:pos="2534" w:val="left"/>
                                <w:tab w:pos="3168" w:val="left"/>
                                <w:tab w:pos="3806" w:val="left"/>
                              </w:tabs>
                              <w:spacing w:before="0" w:after="0" w:line="240" w:lineRule="auto"/>
                              <w:ind w:left="0" w:right="0" w:firstLine="0"/>
                              <w:jc w:val="left"/>
                              <w:rPr>
                                <w:sz w:val="14"/>
                              </w:rPr>
                            </w:pPr>
                            <w:r>
                              <w:rPr>
                                <w:rStyle w:val="CharStyle30"/>
                                <w:rFonts w:ascii="Arial" w:hAnsi="Arial" w:cs="Arial" w:eastAsia="Arial"/>
                                <w:b/>
                                <w:color w:val="2B2D30"/>
                                <w:sz w:val="14"/>
                              </w:rPr>
                              <w:t>2003</w:t>
                              <w:tab/>
                              <w:t>2006</w:t>
                              <w:tab/>
                              <w:t>2009</w:t>
                              <w:tab/>
                              <w:t>2012</w:t>
                              <w:tab/>
                              <w:t>2015</w:t>
                              <w:tab/>
                              <w:t>2018</w:t>
                              <w:tab/>
                              <w:t>2021</w:t>
                            </w:r>
                          </w:p>
                        </w:txbxContent>
                      </wps:txbx>
                      <wps:bodyPr lIns="0" tIns="0" rIns="0" bIns="0">
                        <a:noAutoFit/>
                      </wps:bodyPr>
                    </wps:wsp>
                  </a:graphicData>
                </a:graphic>
              </wp:anchor>
            </w:drawing>
          </mc:Choice>
        </mc:AlternateContent>
      </w:r>
      <w:r>
        <w:rPr>
          <w:rStyle w:val="CharStyle7"/>
          <w:b/>
          <w:color w:val="2B2D30"/>
          <w:sz w:val="14"/>
        </w:rPr>
        <w:t>Year</w:t>
      </w:r>
    </w:p>
    <w:p>
      <w:pPr>
        <w:pStyle w:val="Style23"/>
        <w:keepNext w:val="0"/>
        <w:keepLines w:val="0"/>
        <w:widowControl w:val="0"/>
        <w:shd w:val="clear" w:color="auto" w:fill="auto"/>
        <w:spacing w:before="0" w:after="0" w:line="329" w:lineRule="auto"/>
        <w:ind w:left="0" w:right="0" w:firstLine="0"/>
        <w:jc w:val="both"/>
      </w:pPr>
      <w:r>
        <w:rPr>
          <w:rStyle w:val="CharStyle24"/>
          <w:b/>
        </w:rPr>
        <w:t xml:space="preserve">Fig. 2. </w:t>
      </w:r>
      <w:r>
        <w:rPr>
          <w:rStyle w:val="CharStyle24"/>
          <w:rFonts w:ascii="Courier New" w:hAnsi="Arial"/>
        </w:rPr>
        <w:t xml:space="preserve">Number of grey seals recorded in joint inventories in 2021-2 003 in the total Baltic Sea (dots) and in southern Baltic only (squares). The dotted lines show the exponential regression.</w:t>
      </w:r>
    </w:p>
    <w:p>
      <w:pPr>
        <w:pStyle w:val="Style23"/>
        <w:keepNext w:val="0"/>
        <w:keepLines w:val="0"/>
        <w:widowControl w:val="0"/>
        <w:shd w:val="clear" w:color="auto" w:fill="auto"/>
        <w:spacing w:before="0" w:after="120"/>
        <w:ind w:left="0" w:right="0" w:firstLine="0"/>
        <w:jc w:val="both"/>
      </w:pPr>
      <w:r>
        <w:rPr>
          <w:rStyle w:val="CharStyle24"/>
        </w:rPr>
        <w:t xml:space="preserve">Data collected from early info-releases by the Natural Resources Institute Finland</w:t>
      </w:r>
      <w:hyperlink w:anchor="bookmark67" w:tooltip="Current Document">
        <w:r>
          <w:rPr>
            <w:rStyle w:val="CharStyle24"/>
          </w:rPr>
          <w:t xml:space="preserve"> </w:t>
        </w:r>
        <w:r>
          <w:rPr>
            <w:rStyle w:val="CharStyle24"/>
            <w:color w:val="2196D1"/>
          </w:rPr>
          <w:t>[3]</w:t>
        </w:r>
      </w:hyperlink>
      <w:r>
        <w:rPr>
          <w:rStyle w:val="CharStyle24"/>
        </w:rPr>
        <w:t>.</w:t>
      </w:r>
    </w:p>
    <w:p>
      <w:pPr>
        <w:pStyle w:val="Style6"/>
        <w:keepNext w:val="0"/>
        <w:keepLines w:val="0"/>
        <w:widowControl w:val="0"/>
        <w:shd w:val="clear" w:color="auto" w:fill="auto"/>
        <w:spacing w:before="0" w:after="120"/>
        <w:ind w:left="0" w:right="0" w:firstLine="0"/>
        <w:jc w:val="both"/>
      </w:pPr>
      <w:r>
        <w:rPr>
          <w:rStyle w:val="CharStyle7"/>
        </w:rPr>
        <w:t xml:space="preserve">doing so, we Rely on the principles of marine ecosystem-based man</w:t>
        <w:softHyphen/>
        <w:t xml:space="preserve">agement (e.g.</w:t>
      </w:r>
      <w:hyperlink w:anchor="bookmark104" w:tooltip="Current Document">
        <w:r>
          <w:rPr>
            <w:rStyle w:val="CharStyle7"/>
          </w:rPr>
          <w:t xml:space="preserve"> </w:t>
        </w:r>
        <w:r>
          <w:rPr>
            <w:rStyle w:val="CharStyle7"/>
            <w:color w:val="2196D1"/>
          </w:rPr>
          <w:t>[49]</w:t>
        </w:r>
      </w:hyperlink>
      <w:r>
        <w:rPr>
          <w:rStyle w:val="CharStyle7"/>
        </w:rPr>
        <w:t xml:space="preserve">) and on the concept of sustainable development</w:t>
      </w:r>
      <w:hyperlink w:anchor="bookmark68" w:tooltip="Current Document">
        <w:r>
          <w:rPr>
            <w:rStyle w:val="CharStyle7"/>
          </w:rPr>
          <w:t xml:space="preserve"> </w:t>
        </w:r>
        <w:r>
          <w:rPr>
            <w:rStyle w:val="CharStyle7"/>
            <w:color w:val="2196D1"/>
          </w:rPr>
          <w:t>[6,</w:t>
        </w:r>
      </w:hyperlink>
      <w:r>
        <w:rPr>
          <w:rStyle w:val="CharStyle7"/>
          <w:color w:val="2196D1"/>
        </w:rPr>
        <w:t xml:space="preserve"> </w:t>
      </w:r>
      <w:hyperlink w:anchor="bookmark68" w:tooltip="Current Document">
        <w:r>
          <w:rPr>
            <w:rStyle w:val="CharStyle7"/>
            <w:color w:val="2196D1"/>
          </w:rPr>
          <w:t>62]</w:t>
        </w:r>
      </w:hyperlink>
      <w:r>
        <w:rPr>
          <w:rStyle w:val="CharStyle7"/>
        </w:rPr>
        <w:t xml:space="preserve">. We propose that the overall guideline should be the long-term sustainable management of the grey seal population by considering ecological, economic and social dimensions of the seal-fishery conflict, thereby enabling coastal fisheries to feed the region</w:t>
      </w:r>
      <w:r>
        <w:rPr>
          <w:rStyle w:val="CharStyle7"/>
          <w:sz w:val="14"/>
        </w:rPr>
        <w:t>’s</w:t>
      </w:r>
      <w:r>
        <w:rPr>
          <w:rStyle w:val="CharStyle7"/>
        </w:rPr>
        <w:t xml:space="preserve">consumers and sustain the coastal economy and culture.</w:t>
      </w:r>
    </w:p>
    <w:p>
      <w:pPr>
        <w:pStyle w:val="Style46"/>
        <w:keepNext/>
        <w:keepLines/>
        <w:widowControl w:val="0"/>
        <w:numPr>
          <w:ilvl w:val="0"/>
          <w:numId w:val="1"/>
        </w:numPr>
        <w:shd w:val="clear" w:color="auto" w:fill="auto"/>
        <w:tabs>
          <w:tab w:pos="322" w:val="left"/>
        </w:tabs>
        <w:spacing w:before="0" w:after="180"/>
        <w:ind w:left="0" w:right="0" w:firstLine="0"/>
        <w:jc w:val="both"/>
      </w:pPr>
      <w:bookmarkStart w:id="15" w:name="bookmark15"/>
      <w:r>
        <w:rPr>
          <w:rStyle w:val="CharStyle47"/>
          <w:b/>
        </w:rPr>
        <w:t xml:space="preserve">Potential threats to Baltic grey seal population</w:t>
      </w:r>
      <w:bookmarkEnd w:id="15"/>
    </w:p>
    <w:p>
      <w:pPr>
        <w:pStyle w:val="Style6"/>
        <w:keepNext w:val="0"/>
        <w:keepLines w:val="0"/>
        <w:widowControl w:val="0"/>
        <w:shd w:val="clear" w:color="auto" w:fill="auto"/>
        <w:spacing w:before="0" w:after="180"/>
        <w:ind w:left="0" w:right="0"/>
        <w:jc w:val="both"/>
      </w:pPr>
      <w:r>
        <w:rPr>
          <w:rStyle w:val="CharStyle7"/>
        </w:rPr>
        <w:t xml:space="preserve">This is the potential to the Baltic grey seal population that need to be Understood as a basis for the existing management criteria. This includes ecosystem changes, hunting, incidental catches, and the risk of degradation of genec diversity.</w:t>
      </w:r>
    </w:p>
    <w:p>
      <w:pPr>
        <w:pStyle w:val="Style56"/>
        <w:keepNext/>
        <w:keepLines/>
        <w:widowControl w:val="0"/>
        <w:numPr>
          <w:ilvl w:val="1"/>
          <w:numId w:val="1"/>
        </w:numPr>
        <w:shd w:val="clear" w:color="auto" w:fill="auto"/>
        <w:tabs>
          <w:tab w:pos="390" w:val="left"/>
        </w:tabs>
        <w:spacing w:before="0" w:after="180" w:line="293" w:lineRule="auto"/>
        <w:ind w:left="0" w:right="0" w:firstLine="0"/>
        <w:jc w:val="both"/>
      </w:pPr>
      <w:bookmarkStart w:id="17" w:name="bookmark17"/>
      <w:r>
        <w:rPr>
          <w:rStyle w:val="CharStyle57"/>
          <w:i/>
        </w:rPr>
        <w:t xml:space="preserve">Eco-system changes, and the amount and quality of prey</w:t>
      </w:r>
      <w:bookmarkEnd w:id="17"/>
    </w:p>
    <w:p>
      <w:pPr>
        <w:pStyle w:val="Style6"/>
        <w:keepNext w:val="0"/>
        <w:keepLines w:val="0"/>
        <w:widowControl w:val="0"/>
        <w:shd w:val="clear" w:color="auto" w:fill="auto"/>
        <w:spacing w:before="0" w:after="0" w:line="293" w:lineRule="auto"/>
        <w:ind w:left="0" w:right="0"/>
        <w:jc w:val="both"/>
      </w:pPr>
      <w:r>
        <w:rPr>
          <w:rStyle w:val="CharStyle7"/>
        </w:rPr>
        <w:t xml:space="preserve">Being top predators in the Baltic Sea ecosystem, seals are allocated to different ecosystem changes and variations in climate. These pressures can affect the food abundance and quality, critical habitats, and levels of harmful substances. The breeding success of grey seal is greater on ice than on land</w:t>
      </w:r>
      <w:hyperlink w:anchor="bookmark95" w:tooltip="Current Document">
        <w:r>
          <w:rPr>
            <w:rStyle w:val="CharStyle7"/>
          </w:rPr>
          <w:t xml:space="preserve"> </w:t>
        </w:r>
        <w:r>
          <w:rPr>
            <w:rStyle w:val="CharStyle7"/>
            <w:color w:val="2196D1"/>
          </w:rPr>
          <w:t>[34]</w:t>
        </w:r>
      </w:hyperlink>
      <w:r>
        <w:rPr>
          <w:rStyle w:val="CharStyle7"/>
        </w:rPr>
        <w:t xml:space="preserve">. Hence, in the long run climate change may have negative impacts on stock. Nonetheless, during the last decades it has been several warm Winters with low ice coverage, but the popu- lation has been growing relatively steadily (</w:t>
      </w:r>
      <w:r>
        <w:rPr>
          <w:rStyle w:val="CharStyle7"/>
          <w:color w:val="2196D1"/>
        </w:rPr>
        <w:t xml:space="preserve">Fig. (2</w:t>
      </w:r>
      <w:r>
        <w:rPr>
          <w:rStyle w:val="CharStyle7"/>
        </w:rPr>
        <w:t xml:space="preserve">). It is noteworthy that the population has grown also in the southern Baltic Sea even though these areas lack ice cover</w:t>
      </w:r>
      <w:hyperlink w:anchor="bookmark80" w:tooltip="Current Document">
        <w:r>
          <w:rPr>
            <w:rStyle w:val="CharStyle7"/>
          </w:rPr>
          <w:t xml:space="preserve"> </w:t>
        </w:r>
        <w:r>
          <w:rPr>
            <w:rStyle w:val="CharStyle7"/>
            <w:color w:val="2196D1"/>
          </w:rPr>
          <w:t>[19]</w:t>
        </w:r>
      </w:hyperlink>
      <w:r>
        <w:rPr>
          <w:rStyle w:val="CharStyle7"/>
        </w:rPr>
        <w:t>.</w:t>
      </w:r>
    </w:p>
    <w:p>
      <w:pPr>
        <w:pStyle w:val="Style6"/>
        <w:keepNext w:val="0"/>
        <w:keepLines w:val="0"/>
        <w:widowControl w:val="0"/>
        <w:shd w:val="clear" w:color="auto" w:fill="auto"/>
        <w:spacing w:before="0" w:after="180" w:line="293" w:lineRule="auto"/>
        <w:ind w:left="0" w:right="0"/>
        <w:jc w:val="both"/>
      </w:pPr>
      <w:r>
        <w:rPr>
          <w:rStyle w:val="CharStyle7"/>
        </w:rPr>
        <w:t xml:space="preserve">The availability and quality of food resources affecting birth rate and mortality of seal pups, and consequent, population growth rate and numbers</w:t>
      </w:r>
      <w:hyperlink w:anchor="bookmark103" w:tooltip="Current Document">
        <w:r>
          <w:rPr>
            <w:rStyle w:val="CharStyle7"/>
          </w:rPr>
          <w:t xml:space="preserve"> </w:t>
        </w:r>
        <w:r>
          <w:rPr>
            <w:rStyle w:val="CharStyle7"/>
            <w:color w:val="2196D1"/>
          </w:rPr>
          <w:t>[48]</w:t>
        </w:r>
      </w:hyperlink>
      <w:r>
        <w:rPr>
          <w:rStyle w:val="CharStyle7"/>
        </w:rPr>
        <w:t xml:space="preserve">. Baltic herring (</w:t>
      </w:r>
      <w:r>
        <w:rPr>
          <w:rStyle w:val="CharStyle7"/>
          <w:i/>
        </w:rPr>
        <w:t xml:space="preserve">Clupea harengus</w:t>
      </w:r>
      <w:r>
        <w:rPr>
          <w:rStyle w:val="CharStyle7"/>
        </w:rPr>
        <w:t xml:space="preserve">) is the main, but not the only, food resource for the Baltic grey seal</w:t>
      </w:r>
      <w:hyperlink w:anchor="bookmark82" w:tooltip="Current Document">
        <w:r>
          <w:rPr>
            <w:rStyle w:val="CharStyle7"/>
          </w:rPr>
          <w:t xml:space="preserve"> </w:t>
        </w:r>
        <w:r>
          <w:rPr>
            <w:rStyle w:val="CharStyle7"/>
            <w:color w:val="2196D1"/>
          </w:rPr>
          <w:t>[21]</w:t>
        </w:r>
      </w:hyperlink>
      <w:r>
        <w:rPr>
          <w:rStyle w:val="CharStyle7"/>
        </w:rPr>
        <w:t xml:space="preserve">. Herring is affected by ecological conditions and also by commercial fishing</w:t>
      </w:r>
      <w:hyperlink w:anchor="bookmark98" w:tooltip="Current Document">
        <w:r>
          <w:rPr>
            <w:rStyle w:val="CharStyle7"/>
          </w:rPr>
          <w:t xml:space="preserve"> </w:t>
        </w:r>
        <w:r>
          <w:rPr>
            <w:rStyle w:val="CharStyle7"/>
            <w:color w:val="2196D1"/>
          </w:rPr>
          <w:t>[37]</w:t>
        </w:r>
      </w:hyperlink>
      <w:r>
        <w:rPr>
          <w:rStyle w:val="CharStyle7"/>
        </w:rPr>
        <w:t xml:space="preserve">. The blubber thickness of grey seal is correlated with the weight of herring, indicating that seal body condition can be related to the condition of its key prey species</w:t>
      </w:r>
      <w:hyperlink w:anchor="bookmark97" w:tooltip="Current Document">
        <w:r>
          <w:rPr>
            <w:rStyle w:val="CharStyle7"/>
          </w:rPr>
          <w:t xml:space="preserve"> </w:t>
        </w:r>
        <w:r>
          <w:rPr>
            <w:rStyle w:val="CharStyle7"/>
            <w:color w:val="2196D1"/>
          </w:rPr>
          <w:t>[36]</w:t>
        </w:r>
      </w:hyperlink>
      <w:r>
        <w:rPr>
          <w:rStyle w:val="CharStyle7"/>
        </w:rPr>
        <w:t>.</w:t>
      </w:r>
    </w:p>
    <w:p>
      <w:pPr>
        <w:pStyle w:val="Style56"/>
        <w:keepNext/>
        <w:keepLines/>
        <w:widowControl w:val="0"/>
        <w:numPr>
          <w:ilvl w:val="1"/>
          <w:numId w:val="1"/>
        </w:numPr>
        <w:shd w:val="clear" w:color="auto" w:fill="auto"/>
        <w:tabs>
          <w:tab w:pos="390" w:val="left"/>
        </w:tabs>
        <w:spacing w:before="0" w:after="180" w:line="293" w:lineRule="auto"/>
        <w:ind w:left="0" w:right="0" w:firstLine="0"/>
        <w:jc w:val="both"/>
      </w:pPr>
      <w:bookmarkStart w:id="19" w:name="bookmark19"/>
      <w:r>
        <w:rPr>
          <w:rStyle w:val="CharStyle57"/>
          <w:i/>
        </w:rPr>
        <w:t>Hunting</w:t>
      </w:r>
      <w:bookmarkEnd w:id="19"/>
    </w:p>
    <w:p>
      <w:pPr>
        <w:pStyle w:val="Style6"/>
        <w:keepNext w:val="0"/>
        <w:keepLines w:val="0"/>
        <w:widowControl w:val="0"/>
        <w:shd w:val="clear" w:color="auto" w:fill="auto"/>
        <w:spacing w:before="0" w:after="0"/>
        <w:ind w:left="0" w:right="0"/>
        <w:jc w:val="both"/>
      </w:pPr>
      <w:r>
        <w:rPr>
          <w:rStyle w:val="CharStyle7"/>
        </w:rPr>
        <w:t xml:space="preserve">Hunting has been the major human pressure on seal species in the Baltic Sea. Unting was banned in whole Baltic in the 1970 s when the seal populations were at the lower. A limited hunting was introduced in 1 998 in Finland to protect fishing gears and catches. SOON after, Åland (an autonomous region of Finland) and Sweden followed. Estonia holds</w:t>
        <w:softHyphen/>
        <w:t xml:space="preserve">hunting in 2015. Since 2014 shooting of grey seals has been allowed in Denmark under special rules in cases where there are substantial economic losses.</w:t>
      </w:r>
    </w:p>
    <w:p>
      <w:pPr>
        <w:pStyle w:val="Style6"/>
        <w:keepNext w:val="0"/>
        <w:keepLines w:val="0"/>
        <w:widowControl w:val="0"/>
        <w:shd w:val="clear" w:color="auto" w:fill="auto"/>
        <w:spacing w:before="0" w:after="140"/>
        <w:ind w:left="0" w:right="0"/>
        <w:jc w:val="both"/>
      </w:pPr>
      <w:r>
        <w:rPr>
          <w:rStyle w:val="CharStyle7"/>
        </w:rPr>
        <w:t xml:space="preserve">In 1998-2021,</w:t>
      </w:r>
      <w:r>
        <w:rPr>
          <w:rStyle w:val="CharStyle7"/>
          <w:sz w:val="14"/>
        </w:rPr>
        <w:t>a</w:t>
      </w:r>
      <w:r>
        <w:rPr>
          <w:rStyle w:val="CharStyle7"/>
        </w:rPr>
        <w:t xml:space="preserve">total of 13,775 grey seeds were hunted by Estonia, Finland, Åland and Sweden from a total permissible quota of 36,611 an- imals (</w:t>
      </w:r>
      <w:hyperlink w:anchor="bookmark27" w:tooltip="Current Document">
        <w:r>
          <w:rPr>
            <w:rStyle w:val="CharStyle7"/>
            <w:color w:val="2196D1"/>
          </w:rPr>
          <w:t xml:space="preserve">Fig. (3</w:t>
        </w:r>
      </w:hyperlink>
      <w:r>
        <w:rPr>
          <w:rStyle w:val="CharStyle7"/>
        </w:rPr>
        <w:t xml:space="preserve">). Overall quota fulfilment in</w:t>
      </w:r>
      <w:r>
        <w:rPr>
          <w:rStyle w:val="CharStyle7"/>
          <w:sz w:val="14"/>
        </w:rPr>
        <w:t>1998-2021</w:t>
      </w:r>
      <w:r>
        <w:rPr>
          <w:rStyle w:val="CharStyle7"/>
        </w:rPr>
        <w:t xml:space="preserve">was 37.6 % (details in </w:t>
      </w:r>
      <w:hyperlink w:anchor="bookmark60" w:tooltip="Current Document">
        <w:r>
          <w:rPr>
            <w:rStyle w:val="CharStyle7"/>
            <w:color w:val="2196D1"/>
          </w:rPr>
          <w:t xml:space="preserve">Annex 2</w:t>
        </w:r>
      </w:hyperlink>
      <w:r>
        <w:rPr>
          <w:rStyle w:val="CharStyle7"/>
        </w:rPr>
        <w:t xml:space="preserve">). The estimates for the soiled quota-under-utilisation including strict hunting regulations, high costs of hunting, and the EU trade ban on seal products, enforced in 2009, that has reduced the motivation for hunting. The sustained growth of the population causes that the present hunting pressure does not pose a risk to the Baltic grey seal population (see also</w:t>
      </w:r>
      <w:hyperlink w:anchor="bookmark99" w:tooltip="Current Document">
        <w:r>
          <w:rPr>
            <w:rStyle w:val="CharStyle7"/>
          </w:rPr>
          <w:t xml:space="preserve"> </w:t>
        </w:r>
        <w:r>
          <w:rPr>
            <w:rStyle w:val="CharStyle7"/>
            <w:color w:val="2196D1"/>
          </w:rPr>
          <w:t>[38]</w:t>
        </w:r>
      </w:hyperlink>
      <w:r>
        <w:rPr>
          <w:rStyle w:val="CharStyle7"/>
        </w:rPr>
        <w:t xml:space="preserve">). However, if the quotas had been reached full, hunting automatically could have a more visible effect on pop growth in particular during the last few years with higher quotas.</w:t>
      </w:r>
    </w:p>
    <w:p>
      <w:pPr>
        <w:pStyle w:val="Style56"/>
        <w:keepNext/>
        <w:keepLines/>
        <w:widowControl w:val="0"/>
        <w:numPr>
          <w:ilvl w:val="1"/>
          <w:numId w:val="1"/>
        </w:numPr>
        <w:shd w:val="clear" w:color="auto" w:fill="auto"/>
        <w:tabs>
          <w:tab w:pos="390" w:val="left"/>
        </w:tabs>
        <w:spacing w:before="0"/>
        <w:ind w:left="0" w:right="0" w:firstLine="0"/>
        <w:jc w:val="both"/>
      </w:pPr>
      <w:bookmarkStart w:id="21" w:name="bookmark21"/>
      <w:r>
        <w:rPr>
          <w:rStyle w:val="CharStyle57"/>
          <w:i/>
        </w:rPr>
        <w:t xml:space="preserve">Incidental catches</w:t>
      </w:r>
      <w:bookmarkEnd w:id="21"/>
    </w:p>
    <w:p>
      <w:pPr>
        <w:pStyle w:val="Style6"/>
        <w:keepNext w:val="0"/>
        <w:keepLines w:val="0"/>
        <w:widowControl w:val="0"/>
        <w:shd w:val="clear" w:color="auto" w:fill="auto"/>
        <w:spacing w:before="0" w:after="140"/>
        <w:ind w:left="0" w:right="0"/>
        <w:jc w:val="both"/>
      </w:pPr>
      <w:r>
        <w:rPr>
          <w:rStyle w:val="CharStyle7"/>
        </w:rPr>
        <w:t xml:space="preserve">In early 2000 s, the number of grey seals incidentally caught by the Baltic fisheries was estimated at approximately 2000 individuals annu- ally</w:t>
      </w:r>
      <w:hyperlink w:anchor="bookmark112" w:tooltip="Current Document">
        <w:r>
          <w:rPr>
            <w:rStyle w:val="CharStyle7"/>
          </w:rPr>
          <w:t xml:space="preserve"> </w:t>
        </w:r>
        <w:r>
          <w:rPr>
            <w:rStyle w:val="CharStyle7"/>
            <w:color w:val="2196D1"/>
          </w:rPr>
          <w:t>[63]</w:t>
        </w:r>
      </w:hyperlink>
      <w:r>
        <w:rPr>
          <w:rStyle w:val="CharStyle7"/>
        </w:rPr>
        <w:t xml:space="preserve">. This is little data on current catering, but</w:t>
      </w:r>
      <w:hyperlink w:anchor="bookmark99" w:tooltip="Current Document">
        <w:r>
          <w:rPr>
            <w:rStyle w:val="CharStyle7"/>
          </w:rPr>
          <w:t xml:space="preserve"> </w:t>
        </w:r>
        <w:r>
          <w:rPr>
            <w:rStyle w:val="CharStyle7"/>
            <w:color w:val="2196D1"/>
          </w:rPr>
          <w:t xml:space="preserve">[38] </w:t>
        </w:r>
      </w:hyperlink>
      <w:r>
        <w:rPr>
          <w:rStyle w:val="CharStyle7"/>
        </w:rPr>
        <w:t xml:space="preserve">observed that in the northern Baltic Sea incidentally caught seals frequently were small pups (in springing) or sub-adult and adult males (in autumn). The gillnet fisheries of cod in the southern Baltic are thought to cause rela- ly high incidental catch of grey seal</w:t>
      </w:r>
      <w:hyperlink w:anchor="bookmark93" w:tooltip="Current Document">
        <w:r>
          <w:rPr>
            <w:rStyle w:val="CharStyle7"/>
          </w:rPr>
          <w:t xml:space="preserve"> </w:t>
        </w:r>
        <w:r>
          <w:rPr>
            <w:rStyle w:val="CharStyle7"/>
            <w:color w:val="2196D1"/>
          </w:rPr>
          <w:t>[32]</w:t>
        </w:r>
      </w:hyperlink>
      <w:r>
        <w:rPr>
          <w:rStyle w:val="CharStyle7"/>
        </w:rPr>
        <w:t xml:space="preserve">. However, gillnet fishing effort of cod in the Baltic declared by 44 % from 2009 to 2018</w:t>
      </w:r>
      <w:hyperlink w:anchor="bookmark78" w:tooltip="Current Document">
        <w:r>
          <w:rPr>
            <w:rStyle w:val="CharStyle7"/>
          </w:rPr>
          <w:t xml:space="preserve"> </w:t>
        </w:r>
        <w:r>
          <w:rPr>
            <w:rStyle w:val="CharStyle7"/>
            <w:color w:val="2196D1"/>
          </w:rPr>
          <w:t>[16]</w:t>
        </w:r>
      </w:hyperlink>
      <w:r>
        <w:rPr>
          <w:rStyle w:val="CharStyle7"/>
        </w:rPr>
        <w:t xml:space="preserve">. It is noteworthy that seal-safe pontoon traps that are currently used principally in salmon fishing in the northern Baltic have a wire grid that effectively Prevents seals entering fish-chamwhere they could drown </w:t>
      </w:r>
      <w:hyperlink w:anchor="bookmark92" w:tooltip="Current Document">
        <w:r>
          <w:rPr>
            <w:rStyle w:val="CharStyle7"/>
            <w:color w:val="2196D1"/>
          </w:rPr>
          <w:t>[31,59]</w:t>
        </w:r>
      </w:hyperlink>
      <w:r>
        <w:rPr>
          <w:rStyle w:val="CharStyle7"/>
        </w:rPr>
        <w:t xml:space="preserve">. Incident catches of grey seal need more monitoring.</w:t>
      </w:r>
    </w:p>
    <w:p>
      <w:pPr>
        <w:pStyle w:val="Style56"/>
        <w:keepNext/>
        <w:keepLines/>
        <w:widowControl w:val="0"/>
        <w:numPr>
          <w:ilvl w:val="1"/>
          <w:numId w:val="1"/>
        </w:numPr>
        <w:shd w:val="clear" w:color="auto" w:fill="auto"/>
        <w:tabs>
          <w:tab w:pos="390" w:val="left"/>
        </w:tabs>
        <w:spacing w:before="0" w:line="240" w:lineRule="auto"/>
        <w:ind w:left="0" w:right="0" w:firstLine="0"/>
        <w:jc w:val="both"/>
      </w:pPr>
      <w:bookmarkStart w:id="23" w:name="bookmark23"/>
      <w:r>
        <w:rPr>
          <w:rStyle w:val="CharStyle57"/>
          <w:i/>
        </w:rPr>
        <w:t xml:space="preserve">Loss of genec diversity</w:t>
      </w:r>
      <w:bookmarkEnd w:id="23"/>
    </w:p>
    <w:p>
      <w:pPr>
        <w:pStyle w:val="Style6"/>
        <w:keepNext w:val="0"/>
        <w:keepLines w:val="0"/>
        <w:widowControl w:val="0"/>
        <w:shd w:val="clear" w:color="auto" w:fill="auto"/>
        <w:spacing w:before="0" w:after="140" w:line="293" w:lineRule="auto"/>
        <w:ind w:left="0" w:right="0"/>
        <w:jc w:val="both"/>
      </w:pPr>
      <w:r>
        <w:rPr>
          <w:rStyle w:val="CharStyle7"/>
        </w:rPr>
        <w:t xml:space="preserve">Grey seal females, like all other seal species, have a strong site fi- delity, i.e., they give birth in the same place as they themselves were born</w:t>
      </w:r>
      <w:hyperlink w:anchor="bookmark109" w:tooltip="Current Document">
        <w:r>
          <w:rPr>
            <w:rStyle w:val="CharStyle7"/>
          </w:rPr>
          <w:t xml:space="preserve"> </w:t>
        </w:r>
        <w:r>
          <w:rPr>
            <w:rStyle w:val="CharStyle7"/>
            <w:color w:val="2196D1"/>
          </w:rPr>
          <w:t>[57]</w:t>
        </w:r>
      </w:hyperlink>
      <w:r>
        <w:rPr>
          <w:rStyle w:val="CharStyle7"/>
        </w:rPr>
        <w:t xml:space="preserve">. Rest of the year, grey seals are more widespread and may travel long dients across the Baltic Sea</w:t>
      </w:r>
      <w:hyperlink w:anchor="bookmark108" w:tooltip="Current Document">
        <w:r>
          <w:rPr>
            <w:rStyle w:val="CharStyle7"/>
          </w:rPr>
          <w:t xml:space="preserve"> </w:t>
        </w:r>
        <w:r>
          <w:rPr>
            <w:rStyle w:val="CharStyle7"/>
            <w:color w:val="2196D1"/>
          </w:rPr>
          <w:t>[56,58]</w:t>
        </w:r>
      </w:hyperlink>
      <w:r>
        <w:rPr>
          <w:rStyle w:val="CharStyle7"/>
        </w:rPr>
        <w:t xml:space="preserve">. Furthermore, juve- niles disperse throughout their first year</w:t>
      </w:r>
      <w:hyperlink w:anchor="bookmark85" w:tooltip="Current Document">
        <w:r>
          <w:rPr>
            <w:rStyle w:val="CharStyle7"/>
          </w:rPr>
          <w:t xml:space="preserve"> </w:t>
        </w:r>
        <w:r>
          <w:rPr>
            <w:rStyle w:val="CharStyle7"/>
            <w:color w:val="2196D1"/>
          </w:rPr>
          <w:t>[24,5,53]</w:t>
        </w:r>
      </w:hyperlink>
      <w:r>
        <w:rPr>
          <w:rStyle w:val="CharStyle7"/>
        </w:rPr>
        <w:t xml:space="preserve">. Hauling events mainstreamed in the core distribution area of population, and is prohibited during the widening time. It can be suggested that hunting could cause disproportionate effects on local population structure and genesis di- versity. However, this is little evidence that local subpopulations exist in the Baltic Sea despite the breeding site fidelity of females.</w:t>
      </w:r>
    </w:p>
    <w:p>
      <w:pPr>
        <w:pStyle w:val="Style46"/>
        <w:keepNext/>
        <w:keepLines/>
        <w:widowControl w:val="0"/>
        <w:numPr>
          <w:ilvl w:val="0"/>
          <w:numId w:val="1"/>
        </w:numPr>
        <w:shd w:val="clear" w:color="auto" w:fill="auto"/>
        <w:tabs>
          <w:tab w:pos="322" w:val="left"/>
        </w:tabs>
        <w:spacing w:before="0"/>
        <w:ind w:left="0" w:right="0" w:firstLine="0"/>
        <w:jc w:val="both"/>
      </w:pPr>
      <w:bookmarkStart w:id="25" w:name="bookmark25"/>
      <w:r>
        <w:rPr>
          <w:rStyle w:val="CharStyle47"/>
          <w:b/>
        </w:rPr>
        <w:t xml:space="preserve">International governance of the Baltic grey seal population</w:t>
      </w:r>
      <w:bookmarkEnd w:id="25"/>
    </w:p>
    <w:p>
      <w:pPr>
        <w:pStyle w:val="Style6"/>
        <w:keepNext w:val="0"/>
        <w:keepLines w:val="0"/>
        <w:widowControl w:val="0"/>
        <w:shd w:val="clear" w:color="auto" w:fill="auto"/>
        <w:spacing w:before="0" w:after="260"/>
        <w:ind w:left="0" w:right="0"/>
        <w:jc w:val="both"/>
      </w:pPr>
      <w:bookmarkStart w:id="27" w:name="bookmark27"/>
      <w:r>
        <w:rPr>
          <w:rStyle w:val="CharStyle7"/>
        </w:rPr>
        <w:t xml:space="preserve">This is an international framework of institutions and legal standards that Govern the management of seal populations globally. This includes the Convention on Migratory Species (CMS) of the United Nations, a</w:t>
      </w:r>
      <w:bookmarkEnd w:id="27"/>
    </w:p>
    <w:p>
      <w:pPr>
        <w:framePr w:w="4805" w:h="2899" w:hSpace="134" w:vSpace="10" w:wrap="notBeside" w:vAnchor="text" w:hAnchor="text" w:x="152" w:y="11"/>
        <w:widowControl w:val="0"/>
        <w:rPr>
          <w:sz w:val="2"/>
        </w:rPr>
      </w:pPr>
      <w:r>
        <w:drawing>
          <wp:inline>
            <wp:extent cx="3054350" cy="1840865"/>
            <wp:docPr id="73" name="Picutre 73"/>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19"/>
                    <a:stretch/>
                  </pic:blipFill>
                  <pic:spPr>
                    <a:xfrm>
                      <a:ext cx="3054350" cy="1840865"/>
                    </a:xfrm>
                    <a:prstGeom prst="rect"/>
                  </pic:spPr>
                </pic:pic>
              </a:graphicData>
            </a:graphic>
          </wp:inline>
        </w:drawing>
      </w:r>
    </w:p>
    <w:p>
      <w:pPr>
        <w:widowControl w:val="0"/>
        <w:spacing w:line="1" w:lineRule="exact"/>
      </w:pPr>
      <w:r>
        <mc:AlternateContent>
          <mc:Choice Requires="wps">
            <w:drawing>
              <wp:anchor distT="0" distB="0" distL="10795" distR="2955290" simplePos="0" relativeHeight="125829390" behindDoc="0" locked="0" layoutInCell="1" allowOverlap="1">
                <wp:simplePos x="0" y="0"/>
                <wp:positionH relativeFrom="column">
                  <wp:posOffset>224155</wp:posOffset>
                </wp:positionH>
                <wp:positionV relativeFrom="paragraph">
                  <wp:posOffset>0</wp:posOffset>
                </wp:positionV>
                <wp:extent cx="277495" cy="121920"/>
                <wp:wrapTopAndBottom/>
                <wp:docPr id="74" name="SHAPE 74"/>
                <a:graphic xmlns:a="http://schemas.openxmlformats.org/drawingml/2006/main">
                  <a:graphicData uri="http://schemas.microsoft.com/office/word/2010/wordprocessingShape">
                    <wps:wsp>
                      <wps:cNvSpPr txBox="1"/>
                      <wps:spPr>
                        <a:xfrm>
                          <a:ext cx="277495"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 xml:space="preserve">4 000</w:t>
                            </w:r>
                          </w:p>
                        </w:txbxContent>
                      </wps:txbx>
                      <wps:bodyPr lIns="0" tIns="0" rIns="0" bIns="0">
                        <a:noAutoFit/>
                      </wps:bodyPr>
                    </wps:wsp>
                  </a:graphicData>
                </a:graphic>
              </wp:anchor>
            </w:drawing>
          </mc:Choice>
        </mc:AlternateContent>
      </w:r>
      <w:r>
        <mc:AlternateContent>
          <mc:Choice Requires="wps">
            <w:drawing>
              <wp:anchor distT="0" distB="0" distL="10795" distR="2958465" simplePos="0" relativeHeight="125829392" behindDoc="0" locked="0" layoutInCell="1" allowOverlap="1">
                <wp:simplePos x="0" y="0"/>
                <wp:positionH relativeFrom="column">
                  <wp:posOffset>226695</wp:posOffset>
                </wp:positionH>
                <wp:positionV relativeFrom="paragraph">
                  <wp:posOffset>180340</wp:posOffset>
                </wp:positionV>
                <wp:extent cx="274320" cy="121920"/>
                <wp:wrapTopAndBottom/>
                <wp:docPr id="76" name="SHAPE 76"/>
                <a:graphic xmlns:a="http://schemas.openxmlformats.org/drawingml/2006/main">
                  <a:graphicData uri="http://schemas.microsoft.com/office/word/2010/wordprocessingShape">
                    <wps:wsp>
                      <wps:cNvSpPr txBox="1"/>
                      <wps:spPr>
                        <a:xfrm>
                          <a:ext cx="27432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 xml:space="preserve">3 500</w:t>
                            </w:r>
                          </w:p>
                        </w:txbxContent>
                      </wps:txbx>
                      <wps:bodyPr lIns="0" tIns="0" rIns="0" bIns="0">
                        <a:noAutoFit/>
                      </wps:bodyPr>
                    </wps:wsp>
                  </a:graphicData>
                </a:graphic>
              </wp:anchor>
            </w:drawing>
          </mc:Choice>
        </mc:AlternateContent>
      </w:r>
      <w:r>
        <mc:AlternateContent>
          <mc:Choice Requires="wps">
            <w:drawing>
              <wp:anchor distT="0" distB="0" distL="10795" distR="2958465" simplePos="0" relativeHeight="125829394" behindDoc="0" locked="0" layoutInCell="1" allowOverlap="1">
                <wp:simplePos x="0" y="0"/>
                <wp:positionH relativeFrom="column">
                  <wp:posOffset>226695</wp:posOffset>
                </wp:positionH>
                <wp:positionV relativeFrom="paragraph">
                  <wp:posOffset>360045</wp:posOffset>
                </wp:positionV>
                <wp:extent cx="274320" cy="121920"/>
                <wp:wrapTopAndBottom/>
                <wp:docPr id="78" name="SHAPE 78"/>
                <a:graphic xmlns:a="http://schemas.openxmlformats.org/drawingml/2006/main">
                  <a:graphicData uri="http://schemas.microsoft.com/office/word/2010/wordprocessingShape">
                    <wps:wsp>
                      <wps:cNvSpPr txBox="1"/>
                      <wps:spPr>
                        <a:xfrm>
                          <a:ext cx="27432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 xml:space="preserve">3 000</w:t>
                            </w:r>
                          </w:p>
                        </w:txbxContent>
                      </wps:txbx>
                      <wps:bodyPr lIns="0" tIns="0" rIns="0" bIns="0">
                        <a:noAutoFit/>
                      </wps:bodyPr>
                    </wps:wsp>
                  </a:graphicData>
                </a:graphic>
              </wp:anchor>
            </w:drawing>
          </mc:Choice>
        </mc:AlternateContent>
      </w:r>
      <w:r>
        <mc:AlternateContent>
          <mc:Choice Requires="wps">
            <w:drawing>
              <wp:anchor distT="0" distB="0" distL="10795" distR="2690495" simplePos="0" relativeHeight="125829396" behindDoc="0" locked="0" layoutInCell="1" allowOverlap="1">
                <wp:simplePos x="0" y="0"/>
                <wp:positionH relativeFrom="column">
                  <wp:posOffset>1074420</wp:posOffset>
                </wp:positionH>
                <wp:positionV relativeFrom="paragraph">
                  <wp:posOffset>363220</wp:posOffset>
                </wp:positionV>
                <wp:extent cx="542290" cy="128270"/>
                <wp:wrapTopAndBottom/>
                <wp:docPr id="80" name="SHAPE 80"/>
                <a:graphic xmlns:a="http://schemas.openxmlformats.org/drawingml/2006/main">
                  <a:graphicData uri="http://schemas.microsoft.com/office/word/2010/wordprocessingShape">
                    <wps:wsp>
                      <wps:cNvSpPr txBox="1"/>
                      <wps:spPr>
                        <a:xfrm>
                          <a:ext cx="542290" cy="12827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 xml:space="preserve">Total quota</w:t>
                            </w:r>
                          </w:p>
                        </w:txbxContent>
                      </wps:txbx>
                      <wps:bodyPr lIns="0" tIns="0" rIns="0" bIns="0">
                        <a:noAutoFit/>
                      </wps:bodyPr>
                    </wps:wsp>
                  </a:graphicData>
                </a:graphic>
              </wp:anchor>
            </w:drawing>
          </mc:Choice>
        </mc:AlternateContent>
      </w:r>
      <w:r>
        <mc:AlternateContent>
          <mc:Choice Requires="wps">
            <w:drawing>
              <wp:anchor distT="0" distB="0" distL="10795" distR="2437130" simplePos="0" relativeHeight="125829398" behindDoc="0" locked="0" layoutInCell="1" allowOverlap="1">
                <wp:simplePos x="0" y="0"/>
                <wp:positionH relativeFrom="column">
                  <wp:posOffset>1921510</wp:posOffset>
                </wp:positionH>
                <wp:positionV relativeFrom="paragraph">
                  <wp:posOffset>363220</wp:posOffset>
                </wp:positionV>
                <wp:extent cx="795655" cy="121920"/>
                <wp:wrapTopAndBottom/>
                <wp:docPr id="82" name="SHAPE 82"/>
                <a:graphic xmlns:a="http://schemas.openxmlformats.org/drawingml/2006/main">
                  <a:graphicData uri="http://schemas.microsoft.com/office/word/2010/wordprocessingShape">
                    <wps:wsp>
                      <wps:cNvSpPr txBox="1"/>
                      <wps:spPr>
                        <a:xfrm>
                          <a:ext cx="795655"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4"/>
                              </w:rPr>
                            </w:pPr>
                            <w:r>
                              <w:rPr>
                                <w:rStyle w:val="CharStyle30"/>
                                <w:rFonts w:ascii="Arial" w:hAnsi="Arial" w:cs="Arial" w:eastAsia="Arial"/>
                                <w:b/>
                                <w:color w:val="595959"/>
                                <w:sz w:val="14"/>
                              </w:rPr>
                              <w:t xml:space="preserve">Total hunted seal</w:t>
                            </w:r>
                          </w:p>
                        </w:txbxContent>
                      </wps:txbx>
                      <wps:bodyPr lIns="0" tIns="0" rIns="0" bIns="0">
                        <a:noAutoFit/>
                      </wps:bodyPr>
                    </wps:wsp>
                  </a:graphicData>
                </a:graphic>
              </wp:anchor>
            </w:drawing>
          </mc:Choice>
        </mc:AlternateContent>
      </w:r>
      <w:r>
        <mc:AlternateContent>
          <mc:Choice Requires="wps">
            <w:drawing>
              <wp:anchor distT="0" distB="0" distL="10795" distR="2958465" simplePos="0" relativeHeight="125829400" behindDoc="0" locked="0" layoutInCell="1" allowOverlap="1">
                <wp:simplePos x="0" y="0"/>
                <wp:positionH relativeFrom="column">
                  <wp:posOffset>226695</wp:posOffset>
                </wp:positionH>
                <wp:positionV relativeFrom="paragraph">
                  <wp:posOffset>542925</wp:posOffset>
                </wp:positionV>
                <wp:extent cx="274320" cy="121920"/>
                <wp:wrapTopAndBottom/>
                <wp:docPr id="84" name="SHAPE 84"/>
                <a:graphic xmlns:a="http://schemas.openxmlformats.org/drawingml/2006/main">
                  <a:graphicData uri="http://schemas.microsoft.com/office/word/2010/wordprocessingShape">
                    <wps:wsp>
                      <wps:cNvSpPr txBox="1"/>
                      <wps:spPr>
                        <a:xfrm>
                          <a:ext cx="27432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 xml:space="preserve">2 500</w:t>
                            </w:r>
                          </w:p>
                        </w:txbxContent>
                      </wps:txbx>
                      <wps:bodyPr lIns="0" tIns="0" rIns="0" bIns="0">
                        <a:noAutoFit/>
                      </wps:bodyPr>
                    </wps:wsp>
                  </a:graphicData>
                </a:graphic>
              </wp:anchor>
            </w:drawing>
          </mc:Choice>
        </mc:AlternateContent>
      </w:r>
      <w:r>
        <mc:AlternateContent>
          <mc:Choice Requires="wps">
            <w:drawing>
              <wp:anchor distT="0" distB="0" distL="10795" distR="2842895" simplePos="0" relativeHeight="125829402" behindDoc="0" locked="0" layoutInCell="1" allowOverlap="1">
                <wp:simplePos x="0" y="0"/>
                <wp:positionH relativeFrom="column">
                  <wp:posOffset>111125</wp:posOffset>
                </wp:positionH>
                <wp:positionV relativeFrom="paragraph">
                  <wp:posOffset>707390</wp:posOffset>
                </wp:positionV>
                <wp:extent cx="389890" cy="137160"/>
                <wp:wrapTopAndBottom/>
                <wp:docPr id="86" name="SHAPE 86"/>
                <a:graphic xmlns:a="http://schemas.openxmlformats.org/drawingml/2006/main">
                  <a:graphicData uri="http://schemas.microsoft.com/office/word/2010/wordprocessingShape">
                    <wps:wsp>
                      <wps:cNvSpPr txBox="1"/>
                      <wps:spPr>
                        <a:xfrm>
                          <a:ext cx="389890" cy="13716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 xml:space="preserve">OJ 2 000</w:t>
                            </w:r>
                          </w:p>
                        </w:txbxContent>
                      </wps:txbx>
                      <wps:bodyPr lIns="0" tIns="0" rIns="0" bIns="0">
                        <a:noAutoFit/>
                      </wps:bodyPr>
                    </wps:wsp>
                  </a:graphicData>
                </a:graphic>
              </wp:anchor>
            </w:drawing>
          </mc:Choice>
        </mc:AlternateContent>
      </w:r>
      <w:r>
        <mc:AlternateContent>
          <mc:Choice Requires="wps">
            <w:drawing>
              <wp:anchor distT="0" distB="0" distL="10795" distR="2961640" simplePos="0" relativeHeight="125829404" behindDoc="0" locked="0" layoutInCell="1" allowOverlap="1">
                <wp:simplePos x="0" y="0"/>
                <wp:positionH relativeFrom="column">
                  <wp:posOffset>229870</wp:posOffset>
                </wp:positionH>
                <wp:positionV relativeFrom="paragraph">
                  <wp:posOffset>905510</wp:posOffset>
                </wp:positionV>
                <wp:extent cx="271145" cy="121920"/>
                <wp:wrapTopAndBottom/>
                <wp:docPr id="88" name="SHAPE 88"/>
                <a:graphic xmlns:a="http://schemas.openxmlformats.org/drawingml/2006/main">
                  <a:graphicData uri="http://schemas.microsoft.com/office/word/2010/wordprocessingShape">
                    <wps:wsp>
                      <wps:cNvSpPr txBox="1"/>
                      <wps:spPr>
                        <a:xfrm>
                          <a:ext cx="271145"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1500</w:t>
                            </w:r>
                          </w:p>
                        </w:txbxContent>
                      </wps:txbx>
                      <wps:bodyPr lIns="0" tIns="0" rIns="0" bIns="0">
                        <a:noAutoFit/>
                      </wps:bodyPr>
                    </wps:wsp>
                  </a:graphicData>
                </a:graphic>
              </wp:anchor>
            </w:drawing>
          </mc:Choice>
        </mc:AlternateContent>
      </w:r>
      <w:r>
        <mc:AlternateContent>
          <mc:Choice Requires="wps">
            <w:drawing>
              <wp:anchor distT="0" distB="0" distL="10795" distR="2961640" simplePos="0" relativeHeight="125829406" behindDoc="0" locked="0" layoutInCell="1" allowOverlap="1">
                <wp:simplePos x="0" y="0"/>
                <wp:positionH relativeFrom="column">
                  <wp:posOffset>229870</wp:posOffset>
                </wp:positionH>
                <wp:positionV relativeFrom="paragraph">
                  <wp:posOffset>1085215</wp:posOffset>
                </wp:positionV>
                <wp:extent cx="271145" cy="121920"/>
                <wp:wrapTopAndBottom/>
                <wp:docPr id="90" name="SHAPE 90"/>
                <a:graphic xmlns:a="http://schemas.openxmlformats.org/drawingml/2006/main">
                  <a:graphicData uri="http://schemas.microsoft.com/office/word/2010/wordprocessingShape">
                    <wps:wsp>
                      <wps:cNvSpPr txBox="1"/>
                      <wps:spPr>
                        <a:xfrm>
                          <a:ext cx="271145"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1000</w:t>
                            </w:r>
                          </w:p>
                        </w:txbxContent>
                      </wps:txbx>
                      <wps:bodyPr lIns="0" tIns="0" rIns="0" bIns="0">
                        <a:noAutoFit/>
                      </wps:bodyPr>
                    </wps:wsp>
                  </a:graphicData>
                </a:graphic>
              </wp:anchor>
            </w:drawing>
          </mc:Choice>
        </mc:AlternateContent>
      </w:r>
      <w:r>
        <mc:AlternateContent>
          <mc:Choice Requires="wps">
            <w:drawing>
              <wp:anchor distT="0" distB="0" distL="10795" distR="3037840" simplePos="0" relativeHeight="125829408" behindDoc="0" locked="0" layoutInCell="1" allowOverlap="1">
                <wp:simplePos x="0" y="0"/>
                <wp:positionH relativeFrom="column">
                  <wp:posOffset>302895</wp:posOffset>
                </wp:positionH>
                <wp:positionV relativeFrom="paragraph">
                  <wp:posOffset>1264920</wp:posOffset>
                </wp:positionV>
                <wp:extent cx="194945" cy="121920"/>
                <wp:wrapTopAndBottom/>
                <wp:docPr id="92" name="SHAPE 92"/>
                <a:graphic xmlns:a="http://schemas.openxmlformats.org/drawingml/2006/main">
                  <a:graphicData uri="http://schemas.microsoft.com/office/word/2010/wordprocessingShape">
                    <wps:wsp>
                      <wps:cNvSpPr txBox="1"/>
                      <wps:spPr>
                        <a:xfrm>
                          <a:ext cx="194945"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500</w:t>
                            </w:r>
                          </w:p>
                        </w:txbxContent>
                      </wps:txbx>
                      <wps:bodyPr lIns="0" tIns="0" rIns="0" bIns="0">
                        <a:noAutoFit/>
                      </wps:bodyPr>
                    </wps:wsp>
                  </a:graphicData>
                </a:graphic>
              </wp:anchor>
            </w:drawing>
          </mc:Choice>
        </mc:AlternateContent>
      </w:r>
      <w:r>
        <mc:AlternateContent>
          <mc:Choice Requires="wps">
            <w:drawing>
              <wp:anchor distT="0" distB="0" distL="10795" distR="2988945" simplePos="0" relativeHeight="125829410" behindDoc="0" locked="0" layoutInCell="1" allowOverlap="1">
                <wp:simplePos x="0" y="0"/>
                <wp:positionH relativeFrom="column">
                  <wp:posOffset>1040765</wp:posOffset>
                </wp:positionH>
                <wp:positionV relativeFrom="paragraph">
                  <wp:posOffset>1588135</wp:posOffset>
                </wp:positionV>
                <wp:extent cx="243840" cy="121920"/>
                <wp:wrapTopAndBottom/>
                <wp:docPr id="94" name="SHAPE 94"/>
                <a:graphic xmlns:a="http://schemas.openxmlformats.org/drawingml/2006/main">
                  <a:graphicData uri="http://schemas.microsoft.com/office/word/2010/wordprocessingShape">
                    <wps:wsp>
                      <wps:cNvSpPr txBox="1"/>
                      <wps:spPr>
                        <a:xfrm>
                          <a:ext cx="243840" cy="121920"/>
                        </a:xfrm>
                        <a:prstGeom prst="rect"/>
                        <a:noFill/>
                      </wps:spPr>
                      <wps:txbx>
                        <w:txbxContent>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2005</w:t>
                            </w:r>
                          </w:p>
                        </w:txbxContent>
                      </wps:txbx>
                      <wps:bodyPr lIns="0" tIns="0" rIns="0" bIns="0">
                        <a:noAutoFit/>
                      </wps:bodyPr>
                    </wps:wsp>
                  </a:graphicData>
                </a:graphic>
              </wp:anchor>
            </w:drawing>
          </mc:Choice>
        </mc:AlternateContent>
      </w:r>
      <w:r>
        <mc:AlternateContent>
          <mc:Choice Requires="wps">
            <w:drawing>
              <wp:anchor distT="0" distB="0" distL="10795" distR="2982595" simplePos="0" relativeHeight="125829412" behindDoc="0" locked="0" layoutInCell="1" allowOverlap="1">
                <wp:simplePos x="0" y="0"/>
                <wp:positionH relativeFrom="column">
                  <wp:posOffset>1623060</wp:posOffset>
                </wp:positionH>
                <wp:positionV relativeFrom="paragraph">
                  <wp:posOffset>1588135</wp:posOffset>
                </wp:positionV>
                <wp:extent cx="250190" cy="121920"/>
                <wp:wrapTopAndBottom/>
                <wp:docPr id="96" name="SHAPE 96"/>
                <a:graphic xmlns:a="http://schemas.openxmlformats.org/drawingml/2006/main">
                  <a:graphicData uri="http://schemas.microsoft.com/office/word/2010/wordprocessingShape">
                    <wps:wsp>
                      <wps:cNvSpPr txBox="1"/>
                      <wps:spPr>
                        <a:xfrm>
                          <a:ext cx="250190" cy="121920"/>
                        </a:xfrm>
                        <a:prstGeom prst="rect"/>
                        <a:noFill/>
                      </wps:spPr>
                      <wps:txbx>
                        <w:txbxContent>
                          <w:p>
                            <w:pPr>
                              <w:pStyle w:val="Style29"/>
                              <w:keepNext w:val="0"/>
                              <w:keepLines w:val="0"/>
                              <w:widowControl w:val="0"/>
                              <w:shd w:val="clear" w:color="auto" w:fill="auto"/>
                              <w:spacing w:before="0" w:after="0" w:line="240" w:lineRule="auto"/>
                              <w:ind w:left="0" w:right="0" w:firstLine="0"/>
                              <w:jc w:val="center"/>
                              <w:rPr>
                                <w:sz w:val="15"/>
                              </w:rPr>
                            </w:pPr>
                            <w:r>
                              <w:rPr>
                                <w:rStyle w:val="CharStyle30"/>
                                <w:rFonts w:ascii="Arial" w:hAnsi="Arial" w:cs="Arial" w:eastAsia="Arial"/>
                                <w:color w:val="595959"/>
                                <w:sz w:val="15"/>
                              </w:rPr>
                              <w:t>2010</w:t>
                            </w:r>
                          </w:p>
                        </w:txbxContent>
                      </wps:txbx>
                      <wps:bodyPr lIns="0" tIns="0" rIns="0" bIns="0">
                        <a:noAutoFit/>
                      </wps:bodyPr>
                    </wps:wsp>
                  </a:graphicData>
                </a:graphic>
              </wp:anchor>
            </w:drawing>
          </mc:Choice>
        </mc:AlternateContent>
      </w:r>
      <w:r>
        <mc:AlternateContent>
          <mc:Choice Requires="wps">
            <w:drawing>
              <wp:anchor distT="0" distB="0" distL="10795" distR="2985770" simplePos="0" relativeHeight="125829414" behindDoc="0" locked="0" layoutInCell="1" allowOverlap="1">
                <wp:simplePos x="0" y="0"/>
                <wp:positionH relativeFrom="column">
                  <wp:posOffset>2202180</wp:posOffset>
                </wp:positionH>
                <wp:positionV relativeFrom="paragraph">
                  <wp:posOffset>1588135</wp:posOffset>
                </wp:positionV>
                <wp:extent cx="247015" cy="121920"/>
                <wp:wrapTopAndBottom/>
                <wp:docPr id="98" name="SHAPE 98"/>
                <a:graphic xmlns:a="http://schemas.openxmlformats.org/drawingml/2006/main">
                  <a:graphicData uri="http://schemas.microsoft.com/office/word/2010/wordprocessingShape">
                    <wps:wsp>
                      <wps:cNvSpPr txBox="1"/>
                      <wps:spPr>
                        <a:xfrm>
                          <a:ext cx="247015" cy="121920"/>
                        </a:xfrm>
                        <a:prstGeom prst="rect"/>
                        <a:noFill/>
                      </wps:spPr>
                      <wps:txbx>
                        <w:txbxContent>
                          <w:p>
                            <w:pPr>
                              <w:pStyle w:val="Style29"/>
                              <w:keepNext w:val="0"/>
                              <w:keepLines w:val="0"/>
                              <w:widowControl w:val="0"/>
                              <w:shd w:val="clear" w:color="auto" w:fill="auto"/>
                              <w:spacing w:before="0" w:after="0" w:line="240" w:lineRule="auto"/>
                              <w:ind w:left="0" w:right="0" w:firstLine="0"/>
                              <w:jc w:val="right"/>
                              <w:rPr>
                                <w:sz w:val="15"/>
                              </w:rPr>
                            </w:pPr>
                            <w:r>
                              <w:rPr>
                                <w:rStyle w:val="CharStyle30"/>
                                <w:rFonts w:ascii="Arial" w:hAnsi="Arial" w:cs="Arial" w:eastAsia="Arial"/>
                                <w:color w:val="595959"/>
                                <w:sz w:val="15"/>
                              </w:rPr>
                              <w:t>2015</w:t>
                            </w:r>
                          </w:p>
                        </w:txbxContent>
                      </wps:txbx>
                      <wps:bodyPr lIns="0" tIns="0" rIns="0" bIns="0">
                        <a:noAutoFit/>
                      </wps:bodyPr>
                    </wps:wsp>
                  </a:graphicData>
                </a:graphic>
              </wp:anchor>
            </w:drawing>
          </mc:Choice>
        </mc:AlternateContent>
      </w:r>
      <w:r>
        <mc:AlternateContent>
          <mc:Choice Requires="wps">
            <w:drawing>
              <wp:anchor distT="0" distB="0" distL="10795" distR="2985770" simplePos="0" relativeHeight="125829416" behindDoc="0" locked="0" layoutInCell="1" allowOverlap="1">
                <wp:simplePos x="0" y="0"/>
                <wp:positionH relativeFrom="column">
                  <wp:posOffset>2784475</wp:posOffset>
                </wp:positionH>
                <wp:positionV relativeFrom="paragraph">
                  <wp:posOffset>1588135</wp:posOffset>
                </wp:positionV>
                <wp:extent cx="247015" cy="121920"/>
                <wp:wrapTopAndBottom/>
                <wp:docPr id="100" name="SHAPE 100"/>
                <a:graphic xmlns:a="http://schemas.openxmlformats.org/drawingml/2006/main">
                  <a:graphicData uri="http://schemas.microsoft.com/office/word/2010/wordprocessingShape">
                    <wps:wsp>
                      <wps:cNvSpPr txBox="1"/>
                      <wps:spPr>
                        <a:xfrm>
                          <a:ext cx="247015" cy="121920"/>
                        </a:xfrm>
                        <a:prstGeom prst="rect"/>
                        <a:noFill/>
                      </wps:spPr>
                      <wps:txbx>
                        <w:txbxContent>
                          <w:p>
                            <w:pPr>
                              <w:pStyle w:val="Style29"/>
                              <w:keepNext w:val="0"/>
                              <w:keepLines w:val="0"/>
                              <w:widowControl w:val="0"/>
                              <w:shd w:val="clear" w:color="auto" w:fill="auto"/>
                              <w:spacing w:before="0" w:after="0" w:line="240" w:lineRule="auto"/>
                              <w:ind w:left="0" w:right="0" w:firstLine="0"/>
                              <w:jc w:val="right"/>
                              <w:rPr>
                                <w:sz w:val="15"/>
                              </w:rPr>
                            </w:pPr>
                            <w:r>
                              <w:rPr>
                                <w:rStyle w:val="CharStyle30"/>
                                <w:rFonts w:ascii="Arial" w:hAnsi="Arial" w:cs="Arial" w:eastAsia="Arial"/>
                                <w:color w:val="595959"/>
                                <w:sz w:val="15"/>
                              </w:rPr>
                              <w:t>2020</w:t>
                            </w:r>
                          </w:p>
                        </w:txbxContent>
                      </wps:txbx>
                      <wps:bodyPr lIns="0" tIns="0" rIns="0" bIns="0">
                        <a:noAutoFit/>
                      </wps:bodyPr>
                    </wps:wsp>
                  </a:graphicData>
                </a:graphic>
              </wp:anchor>
            </w:drawing>
          </mc:Choice>
        </mc:AlternateContent>
      </w:r>
      <w:r>
        <mc:AlternateContent>
          <mc:Choice Requires="wps">
            <w:drawing>
              <wp:anchor distT="0" distB="0" distL="10795" distR="3004185" simplePos="0" relativeHeight="125829418" behindDoc="0" locked="0" layoutInCell="1" allowOverlap="1">
                <wp:simplePos x="0" y="0"/>
                <wp:positionH relativeFrom="column">
                  <wp:posOffset>1748155</wp:posOffset>
                </wp:positionH>
                <wp:positionV relativeFrom="paragraph">
                  <wp:posOffset>1750060</wp:posOffset>
                </wp:positionV>
                <wp:extent cx="228600" cy="118745"/>
                <wp:wrapTopAndBottom/>
                <wp:docPr id="102" name="SHAPE 102"/>
                <a:graphic xmlns:a="http://schemas.openxmlformats.org/drawingml/2006/main">
                  <a:graphicData uri="http://schemas.microsoft.com/office/word/2010/wordprocessingShape">
                    <wps:wsp>
                      <wps:cNvSpPr txBox="1"/>
                      <wps:spPr>
                        <a:xfrm>
                          <a:ext cx="228600" cy="118745"/>
                        </a:xfrm>
                        <a:prstGeom prst="rect"/>
                        <a:noFill/>
                      </wps:spPr>
                      <wps:txbx>
                        <w:txbxContent>
                          <w:p>
                            <w:pPr>
                              <w:pStyle w:val="Style29"/>
                              <w:keepNext w:val="0"/>
                              <w:keepLines w:val="0"/>
                              <w:widowControl w:val="0"/>
                              <w:shd w:val="clear" w:color="auto" w:fill="auto"/>
                              <w:spacing w:before="0" w:after="0" w:line="240" w:lineRule="auto"/>
                              <w:ind w:left="0" w:right="0" w:firstLine="0"/>
                              <w:jc w:val="right"/>
                              <w:rPr>
                                <w:sz w:val="14"/>
                              </w:rPr>
                            </w:pPr>
                            <w:r>
                              <w:rPr>
                                <w:rStyle w:val="CharStyle30"/>
                                <w:rFonts w:ascii="Arial" w:hAnsi="Arial" w:cs="Arial" w:eastAsia="Arial"/>
                                <w:b/>
                                <w:color w:val="595959"/>
                                <w:sz w:val="14"/>
                              </w:rPr>
                              <w:t>Year</w:t>
                            </w:r>
                          </w:p>
                        </w:txbxContent>
                      </wps:txbx>
                      <wps:bodyPr lIns="0" tIns="0" rIns="0" bIns="0">
                        <a:noAutoFit/>
                      </wps:bodyPr>
                    </wps:wsp>
                  </a:graphicData>
                </a:graphic>
              </wp:anchor>
            </w:drawing>
          </mc:Choice>
        </mc:AlternateContent>
      </w:r>
      <w:r>
        <mc:AlternateContent>
          <mc:Choice Requires="wps">
            <w:drawing>
              <wp:anchor distT="0" distB="0" distL="10795" distR="3122930" simplePos="0" relativeHeight="125829420" behindDoc="0" locked="0" layoutInCell="1" allowOverlap="1">
                <wp:simplePos x="0" y="0"/>
                <wp:positionH relativeFrom="column">
                  <wp:posOffset>89535</wp:posOffset>
                </wp:positionH>
                <wp:positionV relativeFrom="paragraph">
                  <wp:posOffset>490855</wp:posOffset>
                </wp:positionV>
                <wp:extent cx="109855" cy="204470"/>
                <wp:wrapTopAndBottom/>
                <wp:docPr id="104" name="SHAPE 104"/>
                <a:graphic xmlns:a="http://schemas.openxmlformats.org/drawingml/2006/main">
                  <a:graphicData uri="http://schemas.microsoft.com/office/word/2010/wordprocessingShape">
                    <wps:wsp>
                      <wps:cNvSpPr txBox="1"/>
                      <wps:spPr>
                        <a:xfrm>
                          <a:ext cx="109855" cy="204470"/>
                        </a:xfrm>
                        <a:prstGeom prst="rect"/>
                        <a:noFill/>
                      </wps:spPr>
                      <wps:txbx>
                        <w:txbxContent>
                          <w:p>
                            <w:pPr>
                              <w:pStyle w:val="Style29"/>
                              <w:keepNext w:val="0"/>
                              <w:keepLines w:val="0"/>
                              <w:widowControl w:val="0"/>
                              <w:shd w:val="clear" w:color="auto" w:fill="auto"/>
                              <w:spacing w:before="0" w:after="0" w:line="154" w:lineRule="auto"/>
                              <w:ind w:left="0" w:right="0" w:firstLine="0"/>
                              <w:jc w:val="center"/>
                            </w:pPr>
                            <w:r>
                              <w:rPr>
                                <w:rStyle w:val="CharStyle30"/>
                                <w:color w:val="595959"/>
                              </w:rPr>
                              <w:t xml:space="preserve">05 (Q)</w:t>
                            </w:r>
                          </w:p>
                        </w:txbxContent>
                      </wps:txbx>
                      <wps:bodyPr lIns="0" tIns="0" rIns="0" bIns="0">
                        <a:noAutoFit/>
                      </wps:bodyPr>
                    </wps:wsp>
                  </a:graphicData>
                </a:graphic>
              </wp:anchor>
            </w:drawing>
          </mc:Choice>
        </mc:AlternateContent>
      </w:r>
      <w:r>
        <mc:AlternateContent>
          <mc:Choice Requires="wps">
            <w:drawing>
              <wp:anchor distT="0" distB="0" distL="10795" distR="2934335" simplePos="0" relativeHeight="125829422" behindDoc="0" locked="0" layoutInCell="1" allowOverlap="1">
                <wp:simplePos x="0" y="0"/>
                <wp:positionH relativeFrom="column">
                  <wp:posOffset>412750</wp:posOffset>
                </wp:positionH>
                <wp:positionV relativeFrom="paragraph">
                  <wp:posOffset>1447800</wp:posOffset>
                </wp:positionV>
                <wp:extent cx="298450" cy="262255"/>
                <wp:wrapTopAndBottom/>
                <wp:docPr id="106" name="SHAPE 106"/>
                <a:graphic xmlns:a="http://schemas.openxmlformats.org/drawingml/2006/main">
                  <a:graphicData uri="http://schemas.microsoft.com/office/word/2010/wordprocessingShape">
                    <wps:wsp>
                      <wps:cNvSpPr txBox="1"/>
                      <wps:spPr>
                        <a:xfrm>
                          <a:ext cx="298450" cy="262255"/>
                        </a:xfrm>
                        <a:prstGeom prst="rect"/>
                        <a:noFill/>
                      </wps:spPr>
                      <wps:txbx>
                        <w:txbxContent>
                          <w:p>
                            <w:pPr>
                              <w:pStyle w:val="Style29"/>
                              <w:keepNext w:val="0"/>
                              <w:keepLines w:val="0"/>
                              <w:widowControl w:val="0"/>
                              <w:shd w:val="clear" w:color="auto" w:fill="auto"/>
                              <w:spacing w:before="0" w:after="40" w:line="240" w:lineRule="auto"/>
                              <w:ind w:left="0" w:right="0" w:firstLine="0"/>
                              <w:jc w:val="left"/>
                              <w:rPr>
                                <w:sz w:val="15"/>
                              </w:rPr>
                            </w:pPr>
                            <w:r>
                              <w:rPr>
                                <w:rStyle w:val="CharStyle30"/>
                                <w:rFonts w:ascii="Arial" w:hAnsi="Arial" w:cs="Arial" w:eastAsia="Arial"/>
                                <w:color w:val="595959"/>
                                <w:sz w:val="15"/>
                              </w:rPr>
                              <w:t>0</w:t>
                            </w:r>
                          </w:p>
                          <w:p>
                            <w:pPr>
                              <w:pStyle w:val="Style29"/>
                              <w:keepNext w:val="0"/>
                              <w:keepLines w:val="0"/>
                              <w:widowControl w:val="0"/>
                              <w:shd w:val="clear" w:color="auto" w:fill="auto"/>
                              <w:spacing w:before="0" w:after="0" w:line="240" w:lineRule="auto"/>
                              <w:ind w:left="0" w:right="0" w:firstLine="0"/>
                              <w:jc w:val="left"/>
                              <w:rPr>
                                <w:sz w:val="15"/>
                              </w:rPr>
                            </w:pPr>
                            <w:r>
                              <w:rPr>
                                <w:rStyle w:val="CharStyle30"/>
                                <w:rFonts w:ascii="Arial" w:hAnsi="Arial" w:cs="Arial" w:eastAsia="Arial"/>
                                <w:color w:val="595959"/>
                                <w:sz w:val="15"/>
                              </w:rPr>
                              <w:t>2000</w:t>
                            </w:r>
                          </w:p>
                        </w:txbxContent>
                      </wps:txbx>
                      <wps:bodyPr lIns="0" tIns="0" rIns="0" bIns="0">
                        <a:noAutoFit/>
                      </wps:bodyPr>
                    </wps:wsp>
                  </a:graphicData>
                </a:graphic>
              </wp:anchor>
            </w:drawing>
          </mc:Choice>
        </mc:AlternateContent>
      </w:r>
      <w:r>
        <mc:AlternateContent>
          <mc:Choice Requires="wps">
            <w:drawing>
              <wp:anchor distT="0" distB="0" distL="10795" distR="10795" simplePos="0" relativeHeight="125829424" behindDoc="0" locked="0" layoutInCell="1" allowOverlap="1">
                <wp:simplePos x="0" y="0"/>
                <wp:positionH relativeFrom="column">
                  <wp:posOffset>10795</wp:posOffset>
                </wp:positionH>
                <wp:positionV relativeFrom="paragraph">
                  <wp:posOffset>1920240</wp:posOffset>
                </wp:positionV>
                <wp:extent cx="3221990" cy="301625"/>
                <wp:wrapTopAndBottom/>
                <wp:docPr id="108" name="SHAPE 108"/>
                <a:graphic xmlns:a="http://schemas.openxmlformats.org/drawingml/2006/main">
                  <a:graphicData uri="http://schemas.microsoft.com/office/word/2010/wordprocessingShape">
                    <wps:wsp>
                      <wps:cNvSpPr txBox="1"/>
                      <wps:spPr>
                        <a:xfrm>
                          <a:ext cx="3221990" cy="301625"/>
                        </a:xfrm>
                        <a:prstGeom prst="rect"/>
                        <a:noFill/>
                      </wps:spPr>
                      <wps:txbx>
                        <w:txbxContent>
                          <w:p>
                            <w:pPr>
                              <w:pStyle w:val="Style29"/>
                              <w:keepNext w:val="0"/>
                              <w:keepLines w:val="0"/>
                              <w:widowControl w:val="0"/>
                              <w:shd w:val="clear" w:color="auto" w:fill="auto"/>
                              <w:spacing w:before="0" w:after="0" w:line="240" w:lineRule="auto"/>
                              <w:ind w:left="0" w:right="0" w:firstLine="0"/>
                              <w:jc w:val="left"/>
                            </w:pPr>
                            <w:r>
                              <w:rPr>
                                <w:rStyle w:val="CharStyle30"/>
                                <w:b/>
                              </w:rPr>
                              <w:t xml:space="preserve">Fig. 3. </w:t>
                            </w:r>
                            <w:r>
                              <w:rPr>
                                <w:rStyle w:val="CharStyle30"/>
                                <w:rFonts w:ascii="Courier New" w:hAnsi="Arial"/>
                              </w:rPr>
                              <w:t xml:space="preserve">Total quota and number of grey seals yearly hunted in 1998-2 021 in the</w:t>
                            </w:r>
                          </w:p>
                          <w:p>
                            <w:pPr>
                              <w:pStyle w:val="Style29"/>
                              <w:keepNext w:val="0"/>
                              <w:keepLines w:val="0"/>
                              <w:widowControl w:val="0"/>
                              <w:shd w:val="clear" w:color="auto" w:fill="auto"/>
                              <w:spacing w:before="0" w:after="0" w:line="240" w:lineRule="auto"/>
                              <w:ind w:left="0" w:right="0" w:firstLine="0"/>
                              <w:jc w:val="left"/>
                            </w:pPr>
                            <w:r>
                              <w:rPr>
                                <w:rStyle w:val="CharStyle30"/>
                              </w:rPr>
                              <w:t xml:space="preserve">Baltic Sea. The figure is based on compounded data presented in </w:t>
                            </w:r>
                            <w:hyperlink w:anchor="bookmark60" w:tooltip="Current Document">
                              <w:r>
                                <w:rPr>
                                  <w:rStyle w:val="CharStyle30"/>
                                  <w:color w:val="2196D1"/>
                                </w:rPr>
                                <w:t xml:space="preserve">Annex 2</w:t>
                              </w:r>
                            </w:hyperlink>
                            <w:r>
                              <w:rPr>
                                <w:rStyle w:val="CharStyle30"/>
                              </w:rPr>
                              <w:t>.</w:t>
                            </w:r>
                          </w:p>
                        </w:txbxContent>
                      </wps:txbx>
                      <wps:bodyPr lIns="0" tIns="0" rIns="0" bIns="0">
                        <a:noAutoFit/>
                      </wps:bodyPr>
                    </wps:wsp>
                  </a:graphicData>
                </a:graphic>
              </wp:anchor>
            </w:drawing>
          </mc:Choice>
        </mc:AlternateContent>
      </w:r>
    </w:p>
    <w:p>
      <w:pPr>
        <w:pStyle w:val="Style6"/>
        <w:keepNext w:val="0"/>
        <w:keepLines w:val="0"/>
        <w:widowControl w:val="0"/>
        <w:shd w:val="clear" w:color="auto" w:fill="auto"/>
        <w:spacing w:before="0" w:after="140" w:line="293" w:lineRule="auto"/>
        <w:ind w:left="0" w:right="0" w:firstLine="0"/>
        <w:jc w:val="both"/>
      </w:pPr>
      <w:r>
        <w:rPr>
          <w:rStyle w:val="CharStyle7"/>
        </w:rPr>
        <w:t xml:space="preserve">Treaty also known as the Bonn Convention, and the Council of Europe</w:t>
      </w:r>
      <w:r>
        <w:rPr>
          <w:rStyle w:val="CharStyle7"/>
          <w:sz w:val="14"/>
        </w:rPr>
        <w:t>’s</w:t>
      </w:r>
      <w:r>
        <w:rPr>
          <w:rStyle w:val="CharStyle7"/>
        </w:rPr>
        <w:t xml:space="preserve">Convention on the Conservation of European Wildlife and Natural Habitats in 1979, also known as Bern Convention. In this study, how- ever, the treatment is rejected to two other institutions and their norms: the Baltic Marine Environment Protection Commission (HELCOM) and the European Union (EU), because their role is critically importing in the management of seals in the Baltic Sea. This section Introduces the HELCOM and EU frameworks on the management of seal populations in the Baltic Sea.</w:t>
      </w:r>
    </w:p>
    <w:p>
      <w:pPr>
        <w:pStyle w:val="Style56"/>
        <w:keepNext/>
        <w:keepLines/>
        <w:widowControl w:val="0"/>
        <w:numPr>
          <w:ilvl w:val="1"/>
          <w:numId w:val="1"/>
        </w:numPr>
        <w:shd w:val="clear" w:color="auto" w:fill="auto"/>
        <w:tabs>
          <w:tab w:pos="385" w:val="left"/>
        </w:tabs>
        <w:spacing w:before="0"/>
        <w:ind w:left="0" w:right="0" w:firstLine="0"/>
        <w:jc w:val="both"/>
      </w:pPr>
      <w:bookmarkStart w:id="28" w:name="bookmark28"/>
      <w:r>
        <w:rPr>
          <w:rStyle w:val="CharStyle57"/>
          <w:i/>
        </w:rPr>
        <w:t xml:space="preserve">HELCOM recommendations</w:t>
      </w:r>
      <w:bookmarkEnd w:id="28"/>
    </w:p>
    <w:p>
      <w:pPr>
        <w:pStyle w:val="Style6"/>
        <w:keepNext w:val="0"/>
        <w:keepLines w:val="0"/>
        <w:widowControl w:val="0"/>
        <w:shd w:val="clear" w:color="auto" w:fill="auto"/>
        <w:spacing w:before="0" w:after="0"/>
        <w:ind w:left="0" w:right="0"/>
        <w:jc w:val="both"/>
      </w:pPr>
      <w:r>
        <w:rPr>
          <w:rStyle w:val="CharStyle7"/>
        </w:rPr>
        <w:t xml:space="preserve">HELCOM coordinates the management of marine mammals in the Baltic Sea. Under HELCOM Article 15, Contracting Parties must preserve natural habitats and biological diversity and protect ecological processes. These should adopt subsequent instruments containing appropriate guidelines and criteria, which may focus on fisheries man</w:t>
        <w:softHyphen/>
        <w:t xml:space="preserve">agement and marine Mammal conservation. HELCOM makes Recommendations on how the guidelines and criteria are to be implemented by the Contracting Parties through their national legislation. The Con- tracting Parties are not in breach of HELCOM should be depart from these recommendations, as these recommendations are not in them- selves legally binding. However, these recommendations do provide a privileged means of comparing their obligation under Article 15, and thus are not Absolute devoid of legal value.</w:t>
      </w:r>
    </w:p>
    <w:p>
      <w:pPr>
        <w:pStyle w:val="Style6"/>
        <w:keepNext w:val="0"/>
        <w:keepLines w:val="0"/>
        <w:widowControl w:val="0"/>
        <w:shd w:val="clear" w:color="auto" w:fill="auto"/>
        <w:spacing w:before="0" w:after="0"/>
        <w:ind w:left="0" w:right="0"/>
        <w:jc w:val="both"/>
      </w:pPr>
      <w:r>
        <w:rPr>
          <w:rStyle w:val="CharStyle7"/>
        </w:rPr>
        <w:t xml:space="preserve">In Recommendation 27</w:t>
      </w:r>
      <w:r>
        <w:rPr>
          <w:rStyle w:val="CharStyle7"/>
          <w:sz w:val="14"/>
        </w:rPr>
        <w:t>–</w:t>
      </w:r>
      <w:r>
        <w:rPr>
          <w:rStyle w:val="CharStyle7"/>
        </w:rPr>
        <w:t xml:space="preserve">28/2, adopted in 2006 concerning the consolidation of seals in the Baltic Sea area, HELCOM sets out the general management principles for seal populations</w:t>
      </w:r>
      <w:hyperlink w:anchor="bookmark86" w:tooltip="Current Document">
        <w:r>
          <w:rPr>
            <w:rStyle w:val="CharStyle7"/>
          </w:rPr>
          <w:t xml:space="preserve"> </w:t>
        </w:r>
        <w:r>
          <w:rPr>
            <w:rStyle w:val="CharStyle7"/>
            <w:color w:val="2196D1"/>
          </w:rPr>
          <w:t>[25]</w:t>
        </w:r>
      </w:hyperlink>
      <w:r>
        <w:rPr>
          <w:rStyle w:val="CharStyle7"/>
        </w:rPr>
        <w:t xml:space="preserve">. The document states that </w:t>
      </w:r>
      <w:r>
        <w:rPr>
          <w:rStyle w:val="CharStyle7"/>
          <w:sz w:val="14"/>
        </w:rPr>
        <w:t>“</w:t>
      </w:r>
      <w:r>
        <w:rPr>
          <w:rStyle w:val="CharStyle7"/>
        </w:rPr>
        <w:t xml:space="preserve">the grey seal population of the Baltic Sea remains below the ethically calculated population level when computed to the beginnings of the 20th century, and that the current carrying capacity levels are not known</w:t>
      </w:r>
      <w:r>
        <w:rPr>
          <w:rStyle w:val="CharStyle7"/>
          <w:sz w:val="14"/>
        </w:rPr>
        <w:t>”</w:t>
      </w:r>
      <w:r>
        <w:rPr>
          <w:rStyle w:val="CharStyle7"/>
        </w:rPr>
        <w:t xml:space="preserve">. It is noteworthy that in 2006, when the HELCOM recommendation was adopted, the Baltic grey seal population was estimated at</w:t>
      </w:r>
      <w:r>
        <w:rPr>
          <w:rStyle w:val="CharStyle7"/>
          <w:sz w:val="14"/>
        </w:rPr>
        <w:t>26,000-34,000</w:t>
      </w:r>
      <w:r>
        <w:rPr>
          <w:rStyle w:val="CharStyle7"/>
        </w:rPr>
        <w:t>individuals</w:t>
      </w:r>
      <w:hyperlink w:anchor="bookmark88" w:tooltip="Current Document">
        <w:r>
          <w:rPr>
            <w:rStyle w:val="CharStyle7"/>
          </w:rPr>
          <w:t xml:space="preserve"> </w:t>
        </w:r>
        <w:r>
          <w:rPr>
            <w:rStyle w:val="CharStyle7"/>
            <w:color w:val="2196D1"/>
          </w:rPr>
          <w:t>[27]</w:t>
        </w:r>
      </w:hyperlink>
      <w:r>
        <w:rPr>
          <w:rStyle w:val="CharStyle7"/>
        </w:rPr>
        <w:t xml:space="preserve">. Since then, the population has about doubled and expanded also to the southern part of the Baltic Sea</w:t>
      </w:r>
      <w:hyperlink w:anchor="bookmark80" w:tooltip="Current Document">
        <w:r>
          <w:rPr>
            <w:rStyle w:val="CharStyle7"/>
          </w:rPr>
          <w:t xml:space="preserve"> </w:t>
        </w:r>
        <w:r>
          <w:rPr>
            <w:rStyle w:val="CharStyle7"/>
            <w:color w:val="2196D1"/>
          </w:rPr>
          <w:t>[19]</w:t>
        </w:r>
      </w:hyperlink>
      <w:r>
        <w:rPr>
          <w:rStyle w:val="CharStyle7"/>
        </w:rPr>
        <w:t xml:space="preserve">. The Baltic grey seal population was at its lowest, around 4000 individuals, in late 1970 s</w:t>
      </w:r>
      <w:hyperlink w:anchor="bookmark83" w:tooltip="Current Document">
        <w:r>
          <w:rPr>
            <w:rStyle w:val="CharStyle7"/>
          </w:rPr>
          <w:t xml:space="preserve"> </w:t>
        </w:r>
        <w:r>
          <w:rPr>
            <w:rStyle w:val="CharStyle7"/>
            <w:color w:val="2196D1"/>
          </w:rPr>
          <w:t>[22]</w:t>
        </w:r>
      </w:hyperlink>
      <w:r>
        <w:rPr>
          <w:rStyle w:val="CharStyle7"/>
        </w:rPr>
        <w:t>.</w:t>
      </w:r>
    </w:p>
    <w:p>
      <w:pPr>
        <w:pStyle w:val="Style6"/>
        <w:keepNext w:val="0"/>
        <w:keepLines w:val="0"/>
        <w:widowControl w:val="0"/>
        <w:shd w:val="clear" w:color="auto" w:fill="auto"/>
        <w:spacing w:before="0" w:after="0"/>
        <w:ind w:left="0" w:right="0"/>
        <w:jc w:val="both"/>
      </w:pPr>
      <w:r>
        <w:rPr>
          <w:rStyle w:val="CharStyle7"/>
        </w:rPr>
        <w:t xml:space="preserve">For all Baltic seal populations,</w:t>
      </w:r>
      <w:hyperlink w:anchor="bookmark86" w:tooltip="Current Document">
        <w:r>
          <w:rPr>
            <w:rStyle w:val="CharStyle7"/>
          </w:rPr>
          <w:t xml:space="preserve"> </w:t>
        </w:r>
        <w:r>
          <w:rPr>
            <w:rStyle w:val="CharStyle7"/>
            <w:color w:val="2196D1"/>
          </w:rPr>
          <w:t xml:space="preserve">[25] </w:t>
        </w:r>
      </w:hyperlink>
      <w:r>
        <w:rPr>
          <w:rStyle w:val="CharStyle7"/>
        </w:rPr>
        <w:t xml:space="preserve">proposed three key management objectives: (</w:t>
      </w:r>
      <w:r>
        <w:rPr>
          <w:rStyle w:val="CharStyle7"/>
          <w:b/>
        </w:rPr>
        <w:t>I</w:t>
      </w:r>
      <w:r>
        <w:rPr>
          <w:rStyle w:val="CharStyle7"/>
        </w:rPr>
        <w:t xml:space="preserve">) the populations sizes should recover to carrying capacity levels, (</w:t>
      </w:r>
      <w:r>
        <w:rPr>
          <w:rStyle w:val="CharStyle7"/>
          <w:b/>
        </w:rPr>
        <w:t>ii</w:t>
      </w:r>
      <w:r>
        <w:rPr>
          <w:rStyle w:val="CharStyle7"/>
        </w:rPr>
        <w:t xml:space="preserve">) populations should expand and to survive extracting distributions in all Baltic regions, and (</w:t>
      </w:r>
      <w:r>
        <w:rPr>
          <w:rStyle w:val="CharStyle7"/>
          <w:b/>
        </w:rPr>
        <w:t>iii</w:t>
      </w:r>
      <w:r>
        <w:rPr>
          <w:rStyle w:val="CharStyle7"/>
        </w:rPr>
        <w:t xml:space="preserve">) meetings should preserve a health status that secures the continued existence of the populations. With these recommendations as an umbrella, the Baltic countries have adopted seal management plans with a general objective of keeping a favourable conservation status of populations.</w:t>
      </w:r>
    </w:p>
    <w:p>
      <w:pPr>
        <w:pStyle w:val="Style6"/>
        <w:keepNext w:val="0"/>
        <w:keepLines w:val="0"/>
        <w:widowControl w:val="0"/>
        <w:shd w:val="clear" w:color="auto" w:fill="auto"/>
        <w:spacing w:before="0" w:after="140"/>
        <w:ind w:left="0" w:right="0"/>
        <w:jc w:val="both"/>
      </w:pPr>
      <w:r>
        <w:rPr>
          <w:rStyle w:val="CharStyle7"/>
        </w:rPr>
        <w:t xml:space="preserve">The Specific Reference Levels form an integral part of</w:t>
      </w:r>
      <w:hyperlink w:anchor="bookmark86" w:tooltip="Current Document">
        <w:r>
          <w:rPr>
            <w:rStyle w:val="CharStyle7"/>
          </w:rPr>
          <w:t xml:space="preserve"> </w:t>
        </w:r>
        <w:r>
          <w:rPr>
            <w:rStyle w:val="CharStyle7"/>
            <w:color w:val="2196D1"/>
          </w:rPr>
          <w:t xml:space="preserve">[25] </w:t>
        </w:r>
      </w:hyperlink>
      <w:r>
        <w:rPr>
          <w:rStyle w:val="CharStyle7"/>
        </w:rPr>
        <w:t xml:space="preserve">Principles, ples, and for population size, these reference levels are defined as:</w:t>
      </w:r>
    </w:p>
    <w:p>
      <w:pPr>
        <w:pStyle w:val="Style6"/>
        <w:keepNext w:val="0"/>
        <w:keepLines w:val="0"/>
        <w:widowControl w:val="0"/>
        <w:numPr>
          <w:ilvl w:val="0"/>
          <w:numId w:val="3"/>
        </w:numPr>
        <w:shd w:val="clear" w:color="auto" w:fill="auto"/>
        <w:tabs>
          <w:tab w:pos="202" w:val="left"/>
        </w:tabs>
        <w:spacing w:before="0" w:after="0"/>
        <w:ind w:left="260" w:right="0" w:hanging="260"/>
        <w:jc w:val="both"/>
      </w:pPr>
      <w:r>
        <w:rPr>
          <w:rStyle w:val="CharStyle7"/>
          <w:b/>
        </w:rPr>
        <w:t xml:space="preserve">Target Reference Level</w:t>
      </w:r>
      <w:r>
        <w:rPr>
          <w:rStyle w:val="CharStyle7"/>
        </w:rPr>
        <w:t xml:space="preserve">: the level where the growth rate starts to level off and the population asymptotically approach the current carrying capacity level (e.g. 0.8 K);</w:t>
      </w:r>
    </w:p>
    <w:p>
      <w:pPr>
        <w:pStyle w:val="Style6"/>
        <w:keepNext w:val="0"/>
        <w:keepLines w:val="0"/>
        <w:widowControl w:val="0"/>
        <w:numPr>
          <w:ilvl w:val="0"/>
          <w:numId w:val="3"/>
        </w:numPr>
        <w:shd w:val="clear" w:color="auto" w:fill="auto"/>
        <w:tabs>
          <w:tab w:pos="202" w:val="left"/>
        </w:tabs>
        <w:spacing w:before="0" w:after="0" w:line="298" w:lineRule="auto"/>
        <w:ind w:left="260" w:right="0" w:hanging="260"/>
        <w:jc w:val="both"/>
      </w:pPr>
      <w:r>
        <w:rPr>
          <w:rStyle w:val="CharStyle7"/>
          <w:b/>
        </w:rPr>
        <w:t xml:space="preserve">Limit Reference Level </w:t>
      </w:r>
      <w:r>
        <w:rPr>
          <w:rStyle w:val="CharStyle7"/>
        </w:rPr>
        <w:t xml:space="preserve">(the Safe Biological Level): the Minimum Viable Population Size, which is to be defined for each of the man</w:t>
        <w:softHyphen/>
        <w:t xml:space="preserve">agement units; and</w:t>
      </w:r>
    </w:p>
    <w:p>
      <w:pPr>
        <w:pStyle w:val="Style6"/>
        <w:keepNext w:val="0"/>
        <w:keepLines w:val="0"/>
        <w:widowControl w:val="0"/>
        <w:numPr>
          <w:ilvl w:val="0"/>
          <w:numId w:val="3"/>
        </w:numPr>
        <w:shd w:val="clear" w:color="auto" w:fill="auto"/>
        <w:tabs>
          <w:tab w:pos="202" w:val="left"/>
        </w:tabs>
        <w:spacing w:before="0" w:after="140"/>
        <w:ind w:left="260" w:right="0" w:hanging="260"/>
        <w:jc w:val="both"/>
      </w:pPr>
      <w:r>
        <w:rPr>
          <w:rStyle w:val="CharStyle7"/>
          <w:b/>
        </w:rPr>
        <w:t xml:space="preserve">Precautionary Approach Level</w:t>
      </w:r>
      <w:r>
        <w:rPr>
          <w:rStyle w:val="CharStyle7"/>
        </w:rPr>
        <w:t xml:space="preserve">: the level where the populations are at maximum productivity level.</w:t>
      </w:r>
    </w:p>
    <w:p>
      <w:pPr>
        <w:pStyle w:val="Style6"/>
        <w:keepNext w:val="0"/>
        <w:keepLines w:val="0"/>
        <w:widowControl w:val="0"/>
        <w:shd w:val="clear" w:color="auto" w:fill="auto"/>
        <w:spacing w:before="0" w:after="0"/>
        <w:ind w:left="0" w:right="0"/>
        <w:jc w:val="both"/>
      </w:pPr>
      <w:r>
        <w:rPr>
          <w:rStyle w:val="CharStyle7"/>
        </w:rPr>
        <w:t>HELCOM</w:t>
      </w:r>
      <w:hyperlink w:anchor="bookmark86" w:tooltip="Current Document">
        <w:r>
          <w:rPr>
            <w:rStyle w:val="CharStyle7"/>
          </w:rPr>
          <w:t xml:space="preserve"> </w:t>
        </w:r>
        <w:r>
          <w:rPr>
            <w:rStyle w:val="CharStyle7"/>
            <w:color w:val="2196D1"/>
          </w:rPr>
          <w:t xml:space="preserve">[25] </w:t>
        </w:r>
      </w:hyperlink>
      <w:r>
        <w:rPr>
          <w:rStyle w:val="CharStyle7"/>
        </w:rPr>
        <w:t xml:space="preserve">points out that </w:t>
      </w:r>
      <w:r>
        <w:rPr>
          <w:rStyle w:val="CharStyle7"/>
          <w:sz w:val="14"/>
        </w:rPr>
        <w:t>“</w:t>
      </w:r>
      <w:r>
        <w:rPr>
          <w:rStyle w:val="CharStyle7"/>
        </w:rPr>
        <w:t xml:space="preserve">for all Baltic seal populations below the Precautionary Approach Level, no allowances for deliberate killing should be issued</w:t>
      </w:r>
      <w:r>
        <w:rPr>
          <w:rStyle w:val="CharStyle7"/>
          <w:sz w:val="14"/>
        </w:rPr>
        <w:t>”</w:t>
      </w:r>
      <w:r>
        <w:rPr>
          <w:rStyle w:val="CharStyle7"/>
        </w:rPr>
        <w:t xml:space="preserve">. The recommendation adds that “for populations be- Tween the Limit Reference Level (the Safe Biological Level) and the Precautionary Approach Level, licenses for anthropogenic removals can only be issued if a significant positive long-term growth rate can be observed, and if licences for anthropogenic removals are issued, special care has to be taken that the positive long-term growth rate is not produced</w:t>
      </w:r>
      <w:r>
        <w:rPr>
          <w:rStyle w:val="CharStyle7"/>
          <w:sz w:val="14"/>
        </w:rPr>
        <w:t>”</w:t>
      </w:r>
      <w:r>
        <w:rPr>
          <w:rStyle w:val="CharStyle7"/>
        </w:rPr>
        <w:t xml:space="preserve">. Further, HELCOM comments that </w:t>
      </w:r>
      <w:r>
        <w:rPr>
          <w:rStyle w:val="CharStyle7"/>
          <w:sz w:val="14"/>
        </w:rPr>
        <w:t>“</w:t>
      </w:r>
      <w:r>
        <w:rPr>
          <w:rStyle w:val="CharStyle7"/>
        </w:rPr>
        <w:t xml:space="preserve">for populations between the Precautionary Approach and the Target Reference Levels, and for population above the Target Reference Level, licences for anthropogenic removals can be issued that the long-term objectives of the General Management Principles are not compromised</w:t>
      </w:r>
      <w:r>
        <w:rPr>
          <w:rStyle w:val="CharStyle7"/>
          <w:sz w:val="14"/>
        </w:rPr>
        <w:t>”</w:t>
      </w:r>
      <w:r>
        <w:rPr>
          <w:rStyle w:val="CharStyle7"/>
        </w:rPr>
        <w:t xml:space="preserve">. Aside from these recommendations, HELCOM has also put forward supplementary recommendations which are summed below.</w:t>
      </w:r>
    </w:p>
    <w:p>
      <w:pPr>
        <w:pStyle w:val="Style6"/>
        <w:keepNext w:val="0"/>
        <w:keepLines w:val="0"/>
        <w:widowControl w:val="0"/>
        <w:shd w:val="clear" w:color="auto" w:fill="auto"/>
        <w:spacing w:before="0" w:after="0"/>
        <w:ind w:left="0" w:right="0" w:firstLine="280"/>
        <w:jc w:val="both"/>
      </w:pPr>
      <w:r>
        <w:rPr>
          <w:rStyle w:val="CharStyle7"/>
        </w:rPr>
        <w:t>HELCOM</w:t>
      </w:r>
      <w:hyperlink w:anchor="bookmark88" w:tooltip="Current Document">
        <w:r>
          <w:rPr>
            <w:rStyle w:val="CharStyle7"/>
          </w:rPr>
          <w:t xml:space="preserve"> </w:t>
        </w:r>
        <w:r>
          <w:rPr>
            <w:rStyle w:val="CharStyle7"/>
            <w:color w:val="2196D1"/>
          </w:rPr>
          <w:t xml:space="preserve">[27,28] </w:t>
        </w:r>
      </w:hyperlink>
      <w:r>
        <w:rPr>
          <w:rStyle w:val="CharStyle7"/>
        </w:rPr>
        <w:t xml:space="preserve">evaluates the status of the marine environment based on population trends and abundance of the three species of seeds that happur in the Baltic Sea. Good status is achieved for each species when (i) the abundance of seals in each management unit has been retained a Limit Reference Level (LRL) of at least 10,000 individuals to ensure long-term viability; and (ii) the Species-specific growth rate is achieved indicating that abundance is not affected by severe anthropogenic pressures. This recommendation acknowledges that the abundance of the Baltic grey seal population is clearly above the LRL of 10,000 individes. However, the report notes that the population does not raise ieve good status regarding population growth rate and reproduction in the future Baltic Sea when evaluated against the criteria of a minimum 7 % annual increase. Nonetheless, the report notes that the population growth rate seems to reduce, which sows that the population is approaching the carrying capacity.</w:t>
      </w:r>
    </w:p>
    <w:p>
      <w:pPr>
        <w:pStyle w:val="Style6"/>
        <w:keepNext w:val="0"/>
        <w:keepLines w:val="0"/>
        <w:widowControl w:val="0"/>
        <w:shd w:val="clear" w:color="auto" w:fill="auto"/>
        <w:spacing w:before="0" w:after="360"/>
        <w:ind w:left="0" w:right="0" w:firstLine="280"/>
        <w:jc w:val="both"/>
      </w:pPr>
      <w:r>
        <w:rPr>
          <w:rStyle w:val="CharStyle7"/>
        </w:rPr>
        <w:t xml:space="preserve">The State of the Baltic Sea report</w:t>
      </w:r>
      <w:hyperlink w:anchor="bookmark89" w:tooltip="Current Document">
        <w:r>
          <w:rPr>
            <w:rStyle w:val="CharStyle7"/>
          </w:rPr>
          <w:t xml:space="preserve"> </w:t>
        </w:r>
        <w:r>
          <w:rPr>
            <w:rStyle w:val="CharStyle7"/>
            <w:color w:val="2196D1"/>
          </w:rPr>
          <w:t xml:space="preserve">[28] </w:t>
        </w:r>
      </w:hyperlink>
      <w:r>
        <w:rPr>
          <w:rStyle w:val="CharStyle7"/>
        </w:rPr>
        <w:t xml:space="preserve">notes that good status is not achieved in the southwestern Baltic, and coherent HELCOM conclusions that the status of the future Baltic grey seal population is not at a good level (</w:t>
      </w:r>
      <w:r>
        <w:rPr>
          <w:rStyle w:val="CharStyle7"/>
          <w:i/>
        </w:rPr>
        <w:t xml:space="preserve">HELCOM considering the Baltic Sea is one single management unit for grey seal).</w:t>
      </w:r>
      <w:r>
        <w:rPr>
          <w:rStyle w:val="CharStyle7"/>
        </w:rPr>
        <w:t xml:space="preserve"> The report states that the good status of seal populations is achieved when the distribution of the species is close to pristine conditions. It further states that if that can not be achieved due to irreversible long term environmental changes, good status is achieved when all currently available haul-out sites are occupied. The report also notes that the overall status of Baltic grey seal population is estimated as not good input the indicators of reproductive and nutritional status do not achieve the threshold values. The report further notes that the low reproductive and nutritional condition of grey seal may be connected to density dependent effects if the population is approaching its ecological carrying capacity. Helcom thereby contingent fault that the Baltic grey seal population in the core distribution area may approach the carrying capacity.</w:t>
      </w:r>
    </w:p>
    <w:p>
      <w:pPr>
        <w:pStyle w:val="Style56"/>
        <w:keepNext/>
        <w:keepLines/>
        <w:widowControl w:val="0"/>
        <w:numPr>
          <w:ilvl w:val="1"/>
          <w:numId w:val="1"/>
        </w:numPr>
        <w:shd w:val="clear" w:color="auto" w:fill="auto"/>
        <w:tabs>
          <w:tab w:pos="427" w:val="left"/>
        </w:tabs>
        <w:spacing w:before="0"/>
        <w:ind w:left="0" w:right="0" w:firstLine="0"/>
        <w:jc w:val="both"/>
      </w:pPr>
      <w:bookmarkStart w:id="30" w:name="bookmark30"/>
      <w:r>
        <w:rPr>
          <w:rStyle w:val="CharStyle57"/>
          <w:i/>
        </w:rPr>
        <w:t xml:space="preserve">EU legal framework</w:t>
      </w:r>
      <w:bookmarkEnd w:id="30"/>
    </w:p>
    <w:p>
      <w:pPr>
        <w:pStyle w:val="Style6"/>
        <w:keepNext w:val="0"/>
        <w:keepLines w:val="0"/>
        <w:widowControl w:val="0"/>
        <w:shd w:val="clear" w:color="auto" w:fill="auto"/>
        <w:spacing w:before="0" w:after="120"/>
        <w:ind w:left="0" w:right="0" w:firstLine="280"/>
        <w:jc w:val="both"/>
      </w:pPr>
      <w:r>
        <w:rPr>
          <w:rStyle w:val="CharStyle7"/>
        </w:rPr>
        <w:t xml:space="preserve">As all the Baltic coastal states, exceptionally the Russian Federation, are members of the European Union, the legal regime of the EU is bound on them. This are three EU legislative acts that are relevant for seal population management: the EU Habitats Directive, the EU Marine Strategy Framework Directive, and the Regulation on trade in seal products.</w:t>
      </w:r>
    </w:p>
    <w:p>
      <w:pPr>
        <w:pStyle w:val="Style61"/>
        <w:keepNext/>
        <w:keepLines/>
        <w:widowControl w:val="0"/>
        <w:numPr>
          <w:ilvl w:val="2"/>
          <w:numId w:val="1"/>
        </w:numPr>
        <w:shd w:val="clear" w:color="auto" w:fill="auto"/>
        <w:tabs>
          <w:tab w:pos="519" w:val="left"/>
        </w:tabs>
        <w:spacing w:before="0" w:after="0" w:line="293" w:lineRule="auto"/>
        <w:ind w:left="0" w:right="0" w:firstLine="0"/>
        <w:jc w:val="both"/>
      </w:pPr>
      <w:bookmarkStart w:id="32" w:name="bookmark32"/>
      <w:r>
        <w:rPr>
          <w:rStyle w:val="CharStyle62"/>
          <w:i/>
        </w:rPr>
        <w:t xml:space="preserve">EU Habitats Directive</w:t>
      </w:r>
      <w:bookmarkEnd w:id="32"/>
    </w:p>
    <w:p>
      <w:pPr>
        <w:pStyle w:val="Style6"/>
        <w:keepNext w:val="0"/>
        <w:keepLines w:val="0"/>
        <w:widowControl w:val="0"/>
        <w:shd w:val="clear" w:color="auto" w:fill="auto"/>
        <w:spacing w:before="0" w:after="120" w:line="293" w:lineRule="auto"/>
        <w:ind w:left="0" w:right="0" w:firstLine="280"/>
        <w:jc w:val="both"/>
      </w:pPr>
      <w:r>
        <w:rPr>
          <w:rStyle w:val="CharStyle7"/>
        </w:rPr>
        <w:t xml:space="preserve">In the law of the European Union, the Habitats Directive (HD)</w:t>
      </w:r>
      <w:hyperlink w:anchor="bookmark75" w:tooltip="Current Document">
        <w:r>
          <w:rPr>
            <w:rStyle w:val="CharStyle7"/>
          </w:rPr>
          <w:t xml:space="preserve"> </w:t>
        </w:r>
        <w:r>
          <w:rPr>
            <w:rStyle w:val="CharStyle7"/>
            <w:color w:val="2196D1"/>
          </w:rPr>
          <w:t>[13]</w:t>
        </w:r>
      </w:hyperlink>
      <w:r>
        <w:rPr>
          <w:rStyle w:val="CharStyle7"/>
          <w:color w:val="2196D1"/>
        </w:rPr>
        <w:t xml:space="preserve"> </w:t>
      </w:r>
      <w:r>
        <w:rPr>
          <w:rStyle w:val="CharStyle7"/>
        </w:rPr>
        <w:t xml:space="preserve">sets the objectives of promoting the maintenance of natural habitats and biodiversity while also considering economic, social, cultural and regional factors. The HD forms the foundation for the EU strategies on the management of seals. Annex II of the Directive required EU Member States to maintain all the marine mammals that occur in European waters at </w:t>
      </w:r>
      <w:r>
        <w:rPr>
          <w:rStyle w:val="CharStyle7"/>
          <w:sz w:val="14"/>
        </w:rPr>
        <w:t>“</w:t>
      </w:r>
      <w:r>
        <w:rPr>
          <w:rStyle w:val="CharStyle7"/>
        </w:rPr>
        <w:t xml:space="preserve">Favourable Conservation Status</w:t>
      </w:r>
      <w:r>
        <w:rPr>
          <w:rStyle w:val="CharStyle7"/>
          <w:sz w:val="14"/>
        </w:rPr>
        <w:t xml:space="preserve">” </w:t>
      </w:r>
      <w:r>
        <w:rPr>
          <w:rStyle w:val="CharStyle7"/>
        </w:rPr>
        <w:t xml:space="preserve">(FCS). The conservation status will be taken as “favourable</w:t>
      </w:r>
      <w:r>
        <w:rPr>
          <w:rStyle w:val="CharStyle7"/>
          <w:sz w:val="14"/>
        </w:rPr>
        <w:t xml:space="preserve">” </w:t>
      </w:r>
      <w:r>
        <w:rPr>
          <w:rStyle w:val="CharStyle7"/>
        </w:rPr>
        <w:t xml:space="preserve">when following criteria are fulfilled.</w:t>
      </w:r>
    </w:p>
    <w:p>
      <w:pPr>
        <w:pStyle w:val="Style6"/>
        <w:keepNext w:val="0"/>
        <w:keepLines w:val="0"/>
        <w:widowControl w:val="0"/>
        <w:numPr>
          <w:ilvl w:val="0"/>
          <w:numId w:val="5"/>
        </w:numPr>
        <w:shd w:val="clear" w:color="auto" w:fill="auto"/>
        <w:tabs>
          <w:tab w:pos="198" w:val="left"/>
        </w:tabs>
        <w:spacing w:before="0" w:after="0" w:line="298" w:lineRule="auto"/>
        <w:ind w:left="280" w:right="0" w:hanging="280"/>
        <w:jc w:val="both"/>
      </w:pPr>
      <w:r>
        <w:rPr>
          <w:rStyle w:val="CharStyle7"/>
        </w:rPr>
        <w:t xml:space="preserve">Criteria 1: Population dynamics on the species indicate that it is maintaining it on a long-term basis as a viable component of its natural habitats:</w:t>
      </w:r>
    </w:p>
    <w:p>
      <w:pPr>
        <w:pStyle w:val="Style6"/>
        <w:keepNext w:val="0"/>
        <w:keepLines w:val="0"/>
        <w:widowControl w:val="0"/>
        <w:numPr>
          <w:ilvl w:val="0"/>
          <w:numId w:val="5"/>
        </w:numPr>
        <w:shd w:val="clear" w:color="auto" w:fill="auto"/>
        <w:tabs>
          <w:tab w:pos="198" w:val="left"/>
        </w:tabs>
        <w:spacing w:before="0" w:after="0" w:line="300" w:lineRule="auto"/>
        <w:ind w:left="280" w:right="0" w:hanging="280"/>
        <w:jc w:val="both"/>
      </w:pPr>
      <w:r>
        <w:rPr>
          <w:rStyle w:val="CharStyle7"/>
        </w:rPr>
        <w:t xml:space="preserve">Criteria 2: The natural range of the species is lesser or is likely to be reduced for the viable future:</w:t>
      </w:r>
    </w:p>
    <w:p>
      <w:pPr>
        <w:pStyle w:val="Style6"/>
        <w:keepNext w:val="0"/>
        <w:keepLines w:val="0"/>
        <w:widowControl w:val="0"/>
        <w:numPr>
          <w:ilvl w:val="0"/>
          <w:numId w:val="5"/>
        </w:numPr>
        <w:shd w:val="clear" w:color="auto" w:fill="auto"/>
        <w:tabs>
          <w:tab w:pos="198" w:val="left"/>
        </w:tabs>
        <w:spacing w:before="0" w:after="160" w:line="300" w:lineRule="auto"/>
        <w:ind w:left="280" w:right="0" w:hanging="280"/>
        <w:jc w:val="both"/>
      </w:pPr>
      <w:r>
        <w:rPr>
          <w:rStyle w:val="CharStyle7"/>
        </w:rPr>
        <w:t xml:space="preserve">Criteria 3: This is, and will probably continue to be, a sufficient large habitat to maintain its populations on a long-term basis:</w:t>
      </w:r>
    </w:p>
    <w:p>
      <w:pPr>
        <w:pStyle w:val="Style6"/>
        <w:keepNext w:val="0"/>
        <w:keepLines w:val="0"/>
        <w:widowControl w:val="0"/>
        <w:shd w:val="clear" w:color="auto" w:fill="auto"/>
        <w:spacing w:before="0" w:after="120" w:line="293" w:lineRule="auto"/>
        <w:ind w:left="0" w:right="0"/>
        <w:jc w:val="both"/>
      </w:pPr>
      <w:r>
        <w:rPr>
          <w:rStyle w:val="CharStyle7"/>
        </w:rPr>
        <w:t xml:space="preserve">The task of identifying the conservation status is fit to the in-divided countries. In the evaluation of the status, the Favourable Reference Value (FRV) is central. FRV’s final of Favourable Reference Population (FRP), Favourable Reference Range (FRR) and Favourable Reference Areas (FRA). The FRP is defined as the </w:t>
      </w:r>
      <w:r>
        <w:rPr>
          <w:rStyle w:val="CharStyle7"/>
          <w:sz w:val="14"/>
        </w:rPr>
        <w:t>‘</w:t>
      </w:r>
      <w:r>
        <w:rPr>
          <w:rStyle w:val="CharStyle7"/>
        </w:rPr>
        <w:t xml:space="preserve">population in a given biogeographical region considered the minimum necessary to ensure the long-term viability of the species</w:t>
      </w:r>
      <w:r>
        <w:rPr>
          <w:rStyle w:val="CharStyle7"/>
          <w:sz w:val="14"/>
        </w:rPr>
        <w:t>’</w:t>
      </w:r>
      <w:r>
        <w:rPr>
          <w:rStyle w:val="CharStyle7"/>
        </w:rPr>
        <w:t>.</w:t>
      </w:r>
    </w:p>
    <w:p>
      <w:pPr>
        <w:pStyle w:val="Style61"/>
        <w:keepNext/>
        <w:keepLines/>
        <w:widowControl w:val="0"/>
        <w:numPr>
          <w:ilvl w:val="2"/>
          <w:numId w:val="1"/>
        </w:numPr>
        <w:shd w:val="clear" w:color="auto" w:fill="auto"/>
        <w:tabs>
          <w:tab w:pos="519" w:val="left"/>
        </w:tabs>
        <w:spacing w:before="0" w:after="0"/>
        <w:ind w:left="0" w:right="0" w:firstLine="0"/>
        <w:jc w:val="both"/>
      </w:pPr>
      <w:bookmarkStart w:id="34" w:name="bookmark34"/>
      <w:r>
        <w:rPr>
          <w:rStyle w:val="CharStyle62"/>
          <w:i/>
        </w:rPr>
        <w:t xml:space="preserve">EU Marine Strategy Framework Directive</w:t>
      </w:r>
      <w:bookmarkEnd w:id="34"/>
    </w:p>
    <w:p>
      <w:pPr>
        <w:pStyle w:val="Style6"/>
        <w:keepNext w:val="0"/>
        <w:keepLines w:val="0"/>
        <w:widowControl w:val="0"/>
        <w:shd w:val="clear" w:color="auto" w:fill="auto"/>
        <w:spacing w:before="0" w:after="0" w:line="295" w:lineRule="auto"/>
        <w:ind w:left="0" w:right="0"/>
        <w:jc w:val="both"/>
      </w:pPr>
      <w:r>
        <w:rPr>
          <w:rStyle w:val="CharStyle7"/>
        </w:rPr>
        <w:t xml:space="preserve">The Marine Strategy Framework Directive</w:t>
      </w:r>
      <w:hyperlink w:anchor="bookmark106" w:tooltip="Current Document">
        <w:r>
          <w:rPr>
            <w:rStyle w:val="CharStyle7"/>
          </w:rPr>
          <w:t xml:space="preserve"> </w:t>
        </w:r>
        <w:r>
          <w:rPr>
            <w:rStyle w:val="CharStyle7"/>
            <w:color w:val="2196D1"/>
          </w:rPr>
          <w:t xml:space="preserve">[54] </w:t>
        </w:r>
      </w:hyperlink>
      <w:r>
        <w:rPr>
          <w:rStyle w:val="CharStyle7"/>
        </w:rPr>
        <w:t xml:space="preserve">strives to </w:t>
      </w:r>
      <w:r>
        <w:rPr>
          <w:rStyle w:val="CharStyle7"/>
          <w:sz w:val="14"/>
        </w:rPr>
        <w:t>“ecologically</w:t>
      </w:r>
      <w:r>
        <w:rPr>
          <w:rStyle w:val="CharStyle7"/>
        </w:rPr>
        <w:t xml:space="preserve">diverse and dynamic oceans and seas which are clean, healthy and productive within their insic conditions, and the use of the marine environment is at a level that is sustainable</w:t>
      </w:r>
      <w:r>
        <w:rPr>
          <w:rStyle w:val="CharStyle7"/>
          <w:sz w:val="14"/>
        </w:rPr>
        <w:t>”</w:t>
      </w:r>
      <w:r>
        <w:rPr>
          <w:rStyle w:val="CharStyle7"/>
        </w:rPr>
        <w:t xml:space="preserve">. MSFD causes to achieve Good Environmental Status (GES) of the EU</w:t>
      </w:r>
      <w:r>
        <w:rPr>
          <w:rStyle w:val="CharStyle7"/>
          <w:sz w:val="14"/>
        </w:rPr>
        <w:t>’s</w:t>
      </w:r>
      <w:r>
        <w:rPr>
          <w:rStyle w:val="CharStyle7"/>
        </w:rPr>
        <w:t xml:space="preserve">marine waters, and to protect the marine resource base upon which economic and social activities depended. Is at the core of MSFD, and it includes all seal species in EU area.</w:t>
      </w:r>
    </w:p>
    <w:p>
      <w:pPr>
        <w:pStyle w:val="Style6"/>
        <w:keepNext w:val="0"/>
        <w:keepLines w:val="0"/>
        <w:widowControl w:val="0"/>
        <w:shd w:val="clear" w:color="auto" w:fill="auto"/>
        <w:spacing w:before="0" w:after="120"/>
        <w:ind w:left="0" w:right="0"/>
        <w:jc w:val="both"/>
      </w:pPr>
      <w:r>
        <w:rPr>
          <w:rStyle w:val="CharStyle7"/>
        </w:rPr>
        <w:t xml:space="preserve">EU member-states can define areas for the seal assessment as declared in the Commission decision 2017/848</w:t>
      </w:r>
      <w:hyperlink w:anchor="bookmark77" w:tooltip="Current Document">
        <w:r>
          <w:rPr>
            <w:rStyle w:val="CharStyle7"/>
          </w:rPr>
          <w:t xml:space="preserve"> </w:t>
        </w:r>
        <w:r>
          <w:rPr>
            <w:rStyle w:val="CharStyle7"/>
            <w:color w:val="2196D1"/>
          </w:rPr>
          <w:t>[15]</w:t>
        </w:r>
      </w:hyperlink>
      <w:r>
        <w:rPr>
          <w:rStyle w:val="CharStyle7"/>
        </w:rPr>
        <w:t xml:space="preserve">. These areas can be the region, or sub-divisions of it. In the Baltic Sea, member-states decided to follow the HELCOM assessment area, which is the whole region. Among the relevant criteria (Criteria and methodological district</w:t>
        <w:softHyphen/>
        <w:t xml:space="preserve">dards, specifications and standardised methods for monitoring and assessment of essential features and characteristics and current ENVI- conventional status of marine waters under point (a) of Article 8 (1) of Directive 2008/56/EC), one must consider:</w:t>
      </w:r>
    </w:p>
    <w:p>
      <w:pPr>
        <w:pStyle w:val="Style6"/>
        <w:keepNext w:val="0"/>
        <w:keepLines w:val="0"/>
        <w:widowControl w:val="0"/>
        <w:numPr>
          <w:ilvl w:val="0"/>
          <w:numId w:val="7"/>
        </w:numPr>
        <w:shd w:val="clear" w:color="auto" w:fill="auto"/>
        <w:tabs>
          <w:tab w:pos="202" w:val="left"/>
        </w:tabs>
        <w:spacing w:before="0" w:after="0" w:line="298" w:lineRule="auto"/>
        <w:ind w:left="260" w:right="0" w:hanging="260"/>
        <w:jc w:val="both"/>
      </w:pPr>
      <w:r>
        <w:rPr>
          <w:rStyle w:val="CharStyle7"/>
        </w:rPr>
        <w:t xml:space="preserve">The population abundance of the species is not adverstionally affected due to anthropogenic pressures, such that its long-term viability is insured.</w:t>
      </w:r>
    </w:p>
    <w:p>
      <w:pPr>
        <w:pStyle w:val="Style6"/>
        <w:keepNext w:val="0"/>
        <w:keepLines w:val="0"/>
        <w:widowControl w:val="0"/>
        <w:numPr>
          <w:ilvl w:val="0"/>
          <w:numId w:val="7"/>
        </w:numPr>
        <w:shd w:val="clear" w:color="auto" w:fill="auto"/>
        <w:tabs>
          <w:tab w:pos="202" w:val="left"/>
        </w:tabs>
        <w:spacing w:before="0" w:after="0" w:line="298" w:lineRule="auto"/>
        <w:ind w:left="260" w:right="0" w:hanging="260"/>
        <w:jc w:val="both"/>
      </w:pPr>
      <w:r>
        <w:rPr>
          <w:rStyle w:val="CharStyle7"/>
        </w:rPr>
        <w:t xml:space="preserve">The population demographic characteristics (e.g., body size or age class structure, six ratio, fecundity, and survival rates) are indicative of a healthy population which is not adverstionally affected due to anthropogenic pressures.</w:t>
      </w:r>
    </w:p>
    <w:p>
      <w:pPr>
        <w:pStyle w:val="Style6"/>
        <w:keepNext w:val="0"/>
        <w:keepLines w:val="0"/>
        <w:widowControl w:val="0"/>
        <w:numPr>
          <w:ilvl w:val="0"/>
          <w:numId w:val="7"/>
        </w:numPr>
        <w:shd w:val="clear" w:color="auto" w:fill="auto"/>
        <w:tabs>
          <w:tab w:pos="202" w:val="left"/>
        </w:tabs>
        <w:spacing w:before="0" w:after="0" w:line="298" w:lineRule="auto"/>
        <w:ind w:left="260" w:right="0" w:hanging="260"/>
        <w:jc w:val="both"/>
      </w:pPr>
      <w:r>
        <w:rPr>
          <w:rStyle w:val="CharStyle7"/>
        </w:rPr>
        <w:t xml:space="preserve">The species distributional range and, where relevant, pattern is in line with pre-vailing physiographic, geographic and climatic conditions.</w:t>
      </w:r>
    </w:p>
    <w:p>
      <w:pPr>
        <w:pStyle w:val="Style6"/>
        <w:keepNext w:val="0"/>
        <w:keepLines w:val="0"/>
        <w:widowControl w:val="0"/>
        <w:numPr>
          <w:ilvl w:val="0"/>
          <w:numId w:val="7"/>
        </w:numPr>
        <w:shd w:val="clear" w:color="auto" w:fill="auto"/>
        <w:tabs>
          <w:tab w:pos="202" w:val="left"/>
        </w:tabs>
        <w:spacing w:before="0" w:after="120" w:line="302" w:lineRule="auto"/>
        <w:ind w:left="260" w:right="0" w:hanging="260"/>
        <w:jc w:val="both"/>
      </w:pPr>
      <w:r>
        <w:rPr>
          <w:rStyle w:val="CharStyle7"/>
        </w:rPr>
        <w:t xml:space="preserve">The habitat has the necessary additional and condition to support the different situations in the life history of the species.</w:t>
      </w:r>
    </w:p>
    <w:p>
      <w:pPr>
        <w:pStyle w:val="Style6"/>
        <w:keepNext w:val="0"/>
        <w:keepLines w:val="0"/>
        <w:widowControl w:val="0"/>
        <w:shd w:val="clear" w:color="auto" w:fill="auto"/>
        <w:spacing w:before="0" w:after="0"/>
        <w:ind w:left="0" w:right="0"/>
        <w:jc w:val="both"/>
      </w:pPr>
      <w:r>
        <w:rPr>
          <w:rStyle w:val="CharStyle7"/>
        </w:rPr>
        <w:t xml:space="preserve">From the above, it is importing to highlight that the MSFD criteria follow the HD criteria but also include the mortality caused by fisheries. Outlook criteria and methodological standards are to ensure coherence and overall for comparison, between marine regions or subregions, of assessments of the text to which GES is being achieved.</w:t>
      </w:r>
    </w:p>
    <w:p>
      <w:pPr>
        <w:pStyle w:val="Style6"/>
        <w:keepNext w:val="0"/>
        <w:keepLines w:val="0"/>
        <w:widowControl w:val="0"/>
        <w:shd w:val="clear" w:color="auto" w:fill="auto"/>
        <w:spacing w:before="0" w:after="120"/>
        <w:ind w:left="0" w:right="0"/>
        <w:jc w:val="both"/>
      </w:pPr>
      <w:r>
        <w:rPr>
          <w:rStyle w:val="CharStyle7"/>
        </w:rPr>
        <w:t xml:space="preserve">In 2018, Member States had to update the GES assessments per</w:t>
        <w:softHyphen/>
        <w:t xml:space="preserve">format under MSFD Directive Article 8. In the Baltic Sea, GES related to seal species has not been achieved in 70 % of the countries, and was unknown or not assessed in 30 % of the countries (</w:t>
      </w:r>
      <w:r>
        <w:fldChar w:fldCharType="begin"/>
      </w:r>
      <w:r>
        <w:rPr/>
        <w:instrText> HYPERLINK "https://water.europa.eu/state-of-europe-seas/state-of-biodiversity/marine-mammals" </w:instrText>
      </w:r>
      <w:r>
        <w:fldChar w:fldCharType="separate"/>
      </w:r>
      <w:r>
        <w:rPr>
          <w:rStyle w:val="CharStyle7"/>
          <w:color w:val="2196D1"/>
        </w:rPr>
        <w:t>https://water.europa.</w:t>
      </w:r>
      <w:r>
        <w:fldChar w:fldCharType="end"/>
      </w:r>
      <w:r>
        <w:rPr>
          <w:rStyle w:val="CharStyle7"/>
          <w:color w:val="2196D1"/>
        </w:rPr>
        <w:t xml:space="preserve"> </w:t>
      </w:r>
      <w:r>
        <w:fldChar w:fldCharType="begin"/>
      </w:r>
      <w:r>
        <w:rPr/>
        <w:instrText> HYPERLINK "https://water.europa.eu/state-of-europe-seas/state-of-biodiversity/marine-mammals" </w:instrText>
      </w:r>
      <w:r>
        <w:fldChar w:fldCharType="separate"/>
      </w:r>
      <w:r>
        <w:rPr>
          <w:rStyle w:val="CharStyle7"/>
          <w:color w:val="2196D1"/>
        </w:rPr>
        <w:t>eu/state-of-europe-seas/state-of-biodiversity/marine-mammals</w:t>
      </w:r>
      <w:r>
        <w:fldChar w:fldCharType="end"/>
      </w:r>
      <w:r>
        <w:rPr>
          <w:rStyle w:val="CharStyle7"/>
        </w:rPr>
        <w:t>).</w:t>
      </w:r>
    </w:p>
    <w:p>
      <w:pPr>
        <w:pStyle w:val="Style61"/>
        <w:keepNext/>
        <w:keepLines/>
        <w:widowControl w:val="0"/>
        <w:numPr>
          <w:ilvl w:val="2"/>
          <w:numId w:val="1"/>
        </w:numPr>
        <w:shd w:val="clear" w:color="auto" w:fill="auto"/>
        <w:tabs>
          <w:tab w:pos="519" w:val="left"/>
        </w:tabs>
        <w:spacing w:before="0" w:after="0"/>
        <w:ind w:left="0" w:right="0" w:firstLine="0"/>
        <w:jc w:val="both"/>
      </w:pPr>
      <w:bookmarkStart w:id="36" w:name="bookmark36"/>
      <w:r>
        <w:rPr>
          <w:rStyle w:val="CharStyle62"/>
          <w:i/>
        </w:rPr>
        <w:t xml:space="preserve">EU trade ban on seal products</w:t>
      </w:r>
      <w:bookmarkEnd w:id="36"/>
    </w:p>
    <w:p>
      <w:pPr>
        <w:pStyle w:val="Style6"/>
        <w:keepNext w:val="0"/>
        <w:keepLines w:val="0"/>
        <w:widowControl w:val="0"/>
        <w:shd w:val="clear" w:color="auto" w:fill="auto"/>
        <w:spacing w:before="0" w:after="120"/>
        <w:ind w:left="0" w:right="0"/>
        <w:jc w:val="both"/>
      </w:pPr>
      <w:r>
        <w:rPr>
          <w:rStyle w:val="CharStyle7"/>
        </w:rPr>
        <w:t xml:space="preserve">The EU introduced in 2009 a general ban in the placement of seal products on the EU market in response to public concerns about animal welfare aspects of seal hunt</w:t>
      </w:r>
      <w:hyperlink w:anchor="bookmark76" w:tooltip="Current Document">
        <w:r>
          <w:rPr>
            <w:rStyle w:val="CharStyle7"/>
          </w:rPr>
          <w:t xml:space="preserve"> </w:t>
        </w:r>
        <w:r>
          <w:rPr>
            <w:rStyle w:val="CharStyle7"/>
            <w:color w:val="2196D1"/>
          </w:rPr>
          <w:t>[14]</w:t>
        </w:r>
      </w:hyperlink>
      <w:r>
        <w:rPr>
          <w:rStyle w:val="CharStyle7"/>
        </w:rPr>
        <w:t xml:space="preserve">. The trade ban applies both to EU-produced and imported seal products. This regulation was intended to support conservation achievements of Atlantic seals from the pressure of commercial hunting and stop what was considered as cruel hunting methods. The regulation authorised trade in seal products derived from indigenous communities as well as as seals hunted under marine resource management. The catter exception was withdrawn when the regulation was amended in 2015</w:t>
      </w:r>
      <w:hyperlink w:anchor="bookmark74" w:tooltip="Current Document">
        <w:r>
          <w:rPr>
            <w:rStyle w:val="CharStyle7"/>
          </w:rPr>
          <w:t xml:space="preserve"> </w:t>
        </w:r>
        <w:r>
          <w:rPr>
            <w:rStyle w:val="CharStyle7"/>
            <w:color w:val="2196D1"/>
          </w:rPr>
          <w:t>[12]</w:t>
        </w:r>
      </w:hyperlink>
      <w:r>
        <w:rPr>
          <w:rStyle w:val="CharStyle7"/>
        </w:rPr>
        <w:t xml:space="preserve">; this amendment was the result of a ruling by the World Trade Organisation, leaving only the exception for indigenous communities. Serious the EU trade ban does not aim to raise the seal populations per se, it can be considered a protective measure as it impacts on the incentive to hunt.</w:t>
      </w:r>
    </w:p>
    <w:p>
      <w:pPr>
        <w:pStyle w:val="Style46"/>
        <w:keepNext/>
        <w:keepLines/>
        <w:widowControl w:val="0"/>
        <w:numPr>
          <w:ilvl w:val="0"/>
          <w:numId w:val="1"/>
        </w:numPr>
        <w:shd w:val="clear" w:color="auto" w:fill="auto"/>
        <w:tabs>
          <w:tab w:pos="277" w:val="left"/>
        </w:tabs>
        <w:spacing w:before="0" w:line="290" w:lineRule="auto"/>
        <w:ind w:left="0" w:right="0" w:firstLine="0"/>
        <w:jc w:val="both"/>
      </w:pPr>
      <w:bookmarkStart w:id="38" w:name="bookmark38"/>
      <w:r>
        <w:rPr>
          <w:rStyle w:val="CharStyle47"/>
          <w:b/>
        </w:rPr>
        <w:t xml:space="preserve">National governance of the Baltic grey seal population</w:t>
      </w:r>
      <w:bookmarkEnd w:id="38"/>
    </w:p>
    <w:p>
      <w:pPr>
        <w:pStyle w:val="Style6"/>
        <w:keepNext w:val="0"/>
        <w:keepLines w:val="0"/>
        <w:widowControl w:val="0"/>
        <w:shd w:val="clear" w:color="auto" w:fill="auto"/>
        <w:spacing w:before="0" w:after="0"/>
        <w:ind w:left="0" w:right="0"/>
        <w:jc w:val="both"/>
      </w:pPr>
      <w:r>
        <w:rPr>
          <w:rStyle w:val="CharStyle7"/>
        </w:rPr>
        <w:t xml:space="preserve">In the HELCOM Baltic Sea Action Plan adopted in 2007, the Con- tracting Parties committed to Finalise by 2012 national seal</w:t>
        <w:softHyphen/>
        <w:t xml:space="preserve">raising plans as part of the measures taken to safeguard the long-term viability of the seal populations. In 2012, the management plans were prepared either ready or well underway in those countries where there are marked numbers of grey seal</w:t>
      </w:r>
      <w:hyperlink w:anchor="bookmark87" w:tooltip="Current Document">
        <w:r>
          <w:rPr>
            <w:rStyle w:val="CharStyle7"/>
          </w:rPr>
          <w:t xml:space="preserve"> </w:t>
        </w:r>
        <w:r>
          <w:rPr>
            <w:rStyle w:val="CharStyle7"/>
            <w:color w:val="2196D1"/>
          </w:rPr>
          <w:t>[26]</w:t>
        </w:r>
      </w:hyperlink>
      <w:r>
        <w:rPr>
          <w:rStyle w:val="CharStyle7"/>
        </w:rPr>
        <w:t xml:space="preserve">. The 2021 update of the Baltic Sea Action Plan</w:t>
      </w:r>
      <w:hyperlink w:anchor="bookmark90" w:tooltip="Current Document">
        <w:r>
          <w:rPr>
            <w:rStyle w:val="CharStyle7"/>
          </w:rPr>
          <w:t xml:space="preserve"> </w:t>
        </w:r>
        <w:r>
          <w:rPr>
            <w:rStyle w:val="CharStyle7"/>
            <w:color w:val="2196D1"/>
          </w:rPr>
          <w:t xml:space="preserve">[29] </w:t>
        </w:r>
      </w:hyperlink>
      <w:r>
        <w:rPr>
          <w:rStyle w:val="CharStyle7"/>
        </w:rPr>
        <w:t xml:space="preserve">sentences the goal to Finalise and implement national or local conservation and/or management plans for grey seals by 2023. Each HELCOM Contracting Party would need to enact specific legisla- tion to implement force conservation measures disinformation in the plan. However, the existence and dissemination of such plan does serve as a means to complete general obligations of international cooperation, and are thus Illustrative of how the management of seeds is achieved under full</w:t>
      </w:r>
      <w:r>
        <w:rPr>
          <w:rStyle w:val="CharStyle7"/>
          <w:sz w:val="14"/>
        </w:rPr>
        <w:t>COM</w:t>
      </w:r>
      <w:r>
        <w:rPr>
          <w:rStyle w:val="CharStyle7"/>
        </w:rPr>
        <w:t xml:space="preserve">’s framework. Each plan will be a reference to the context of the Contracting Parties.</w:t>
      </w:r>
    </w:p>
    <w:p>
      <w:pPr>
        <w:pStyle w:val="Style6"/>
        <w:keepNext w:val="0"/>
        <w:keepLines w:val="0"/>
        <w:widowControl w:val="0"/>
        <w:shd w:val="clear" w:color="auto" w:fill="auto"/>
        <w:spacing w:before="0" w:after="0"/>
        <w:ind w:left="0" w:right="0"/>
        <w:jc w:val="both"/>
      </w:pPr>
      <w:r>
        <w:rPr>
          <w:rStyle w:val="CharStyle7"/>
        </w:rPr>
        <w:t xml:space="preserve">Currently, Finland, Åland, Sweden, Estonia and Denmark have management plans for seal species in the Baltic Sea. The central objection- tive of this is to reach and maintain a favourable conservation status of seal populations according to the requirement of the EU Habitats Directive and HELCOM recommendations. The Finnish and Swedish plans state that once the long-term well-being and viability of seal population is ensured, socio-economic factors can be accounted for for to a higher end in the management process</w:t>
      </w:r>
      <w:hyperlink w:anchor="bookmark65" w:tooltip="Current Document">
        <w:r>
          <w:rPr>
            <w:rStyle w:val="CharStyle7"/>
          </w:rPr>
          <w:t xml:space="preserve"> </w:t>
        </w:r>
        <w:r>
          <w:rPr>
            <w:rStyle w:val="CharStyle7"/>
            <w:color w:val="2196D1"/>
          </w:rPr>
          <w:t>[1,2]</w:t>
        </w:r>
      </w:hyperlink>
      <w:r>
        <w:rPr>
          <w:rStyle w:val="CharStyle7"/>
        </w:rPr>
        <w:t xml:space="preserve">. In Åland the regional government requires that the population of grey seals should be at a level where damages and effects on fisheries are reasonable. In all coun- tries hunting is tightly prohibited in the special seal protection areas where most grey seals during breeding time and moulting. In Finland and Åland the management plan stress the value of grey seal as a valuable natural resource that should be used in a sustainable way. National management plans include rules and recommendations that the countries have been enforced in their legislations. National plans between the countries but the overall aim is about the same. They are largely based on the HELCOM recommendations.</w:t>
      </w:r>
    </w:p>
    <w:p>
      <w:pPr>
        <w:pStyle w:val="Style6"/>
        <w:keepNext w:val="0"/>
        <w:keepLines w:val="0"/>
        <w:widowControl w:val="0"/>
        <w:shd w:val="clear" w:color="auto" w:fill="auto"/>
        <w:spacing w:before="0" w:after="140"/>
        <w:ind w:left="0" w:right="0"/>
        <w:jc w:val="both"/>
      </w:pPr>
      <w:r>
        <w:rPr>
          <w:rStyle w:val="CharStyle7"/>
        </w:rPr>
        <w:t xml:space="preserve">In Denmark, Germany, and Poland there is a ban on seal hunt with the only exception in Denmark where a small quota allowed in</w:t>
      </w:r>
      <w:r>
        <w:rPr>
          <w:rStyle w:val="CharStyle7"/>
          <w:sz w:val="14"/>
        </w:rPr>
        <w:t>2018-2020</w:t>
      </w:r>
      <w:r>
        <w:rPr>
          <w:rStyle w:val="CharStyle7"/>
        </w:rPr>
        <w:t xml:space="preserve">the killing of a few grey seals to protect fisheries around Bornholm. In Poland and Germany, grey seal is strictly protected with no permits of activities that better use scaring or distress. In Latvia and Lithuania, no seal management plans are the forescene use of the lack of breeding stock and haul-out sites which would need to be protected. Nonetheless, grey seals’ perfect form feeding migration through the</w:t>
        <w:softHyphen/>
        <w:t xml:space="preserve">terri torial waters of these countries and are interacting with fisheries. In Russia, there is no management plan for the marine mother regarding the Baltic Sea.</w:t>
      </w:r>
    </w:p>
    <w:p>
      <w:pPr>
        <w:pStyle w:val="Style46"/>
        <w:keepNext/>
        <w:keepLines/>
        <w:widowControl w:val="0"/>
        <w:numPr>
          <w:ilvl w:val="0"/>
          <w:numId w:val="1"/>
        </w:numPr>
        <w:shd w:val="clear" w:color="auto" w:fill="auto"/>
        <w:tabs>
          <w:tab w:pos="277" w:val="left"/>
        </w:tabs>
        <w:spacing w:before="0" w:line="290" w:lineRule="auto"/>
        <w:ind w:left="0" w:right="0" w:firstLine="0"/>
        <w:jc w:val="both"/>
      </w:pPr>
      <w:bookmarkStart w:id="40" w:name="bookmark40"/>
      <w:r>
        <w:rPr>
          <w:rStyle w:val="CharStyle47"/>
          <w:b/>
        </w:rPr>
        <w:t xml:space="preserve">Interference in the governance of Baltic grey seal</w:t>
      </w:r>
      <w:bookmarkEnd w:id="40"/>
    </w:p>
    <w:p>
      <w:pPr>
        <w:pStyle w:val="Style6"/>
        <w:keepNext w:val="0"/>
        <w:keepLines w:val="0"/>
        <w:widowControl w:val="0"/>
        <w:shd w:val="clear" w:color="auto" w:fill="auto"/>
        <w:spacing w:before="0" w:after="140"/>
        <w:ind w:left="0" w:right="0"/>
        <w:jc w:val="both"/>
      </w:pPr>
      <w:r>
        <w:rPr>
          <w:rStyle w:val="CharStyle7"/>
        </w:rPr>
        <w:t xml:space="preserve">This section casts a critical look on the governance frameworks of the Baltic grey seal population by identifying displacements between whole – COM recommendations and the EU legal framework, themes from Inconsistencies within each of their management criteria. It is import to note that from a governance perspective, the EU and HELCOM are separate institutions, and their policies may not be feasible </w:t>
      </w:r>
      <w:hyperlink w:anchor="bookmark111" w:tooltip="Current Document">
        <w:r>
          <w:rPr>
            <w:rStyle w:val="CharStyle7"/>
            <w:color w:val="2196D1"/>
          </w:rPr>
          <w:t>[61]</w:t>
        </w:r>
      </w:hyperlink>
      <w:r>
        <w:rPr>
          <w:rStyle w:val="CharStyle7"/>
        </w:rPr>
        <w:t>.</w:t>
      </w:r>
    </w:p>
    <w:p>
      <w:pPr>
        <w:pStyle w:val="Style56"/>
        <w:keepNext/>
        <w:keepLines/>
        <w:widowControl w:val="0"/>
        <w:numPr>
          <w:ilvl w:val="1"/>
          <w:numId w:val="1"/>
        </w:numPr>
        <w:shd w:val="clear" w:color="auto" w:fill="auto"/>
        <w:tabs>
          <w:tab w:pos="385" w:val="left"/>
        </w:tabs>
        <w:spacing w:before="0"/>
        <w:ind w:left="0" w:right="0" w:firstLine="0"/>
        <w:jc w:val="both"/>
      </w:pPr>
      <w:bookmarkStart w:id="42" w:name="bookmark42"/>
      <w:r>
        <w:rPr>
          <w:rStyle w:val="CharStyle57"/>
          <w:i/>
        </w:rPr>
        <w:t xml:space="preserve">Inconsistencies in HELCOM recommendations</w:t>
      </w:r>
      <w:bookmarkEnd w:id="42"/>
    </w:p>
    <w:p>
      <w:pPr>
        <w:pStyle w:val="Style6"/>
        <w:keepNext w:val="0"/>
        <w:keepLines w:val="0"/>
        <w:widowControl w:val="0"/>
        <w:shd w:val="clear" w:color="auto" w:fill="auto"/>
        <w:spacing w:before="0" w:after="140"/>
        <w:ind w:left="0" w:right="0"/>
        <w:jc w:val="both"/>
      </w:pPr>
      <w:r>
        <w:rPr>
          <w:rStyle w:val="CharStyle7"/>
        </w:rPr>
        <w:t xml:space="preserve">This study notes that the choices and the recommendations of HELCOM are no longer complete relevant given the current situation. This are Inconsistencies that are linked to three main issues: carrying CA- pacity, population size, and population growth rate.</w:t>
      </w:r>
    </w:p>
    <w:p>
      <w:pPr>
        <w:pStyle w:val="Style61"/>
        <w:keepNext/>
        <w:keepLines/>
        <w:widowControl w:val="0"/>
        <w:numPr>
          <w:ilvl w:val="2"/>
          <w:numId w:val="1"/>
        </w:numPr>
        <w:shd w:val="clear" w:color="auto" w:fill="auto"/>
        <w:tabs>
          <w:tab w:pos="519" w:val="left"/>
        </w:tabs>
        <w:spacing w:before="0" w:after="0"/>
        <w:ind w:left="0" w:right="0" w:firstLine="0"/>
        <w:jc w:val="both"/>
      </w:pPr>
      <w:bookmarkStart w:id="44" w:name="bookmark44"/>
      <w:r>
        <w:rPr>
          <w:rStyle w:val="CharStyle62"/>
          <w:i/>
        </w:rPr>
        <w:t xml:space="preserve">Carrying capacity</w:t>
      </w:r>
      <w:bookmarkEnd w:id="44"/>
    </w:p>
    <w:p>
      <w:pPr>
        <w:pStyle w:val="Style6"/>
        <w:keepNext w:val="0"/>
        <w:keepLines w:val="0"/>
        <w:widowControl w:val="0"/>
        <w:shd w:val="clear" w:color="auto" w:fill="auto"/>
        <w:spacing w:before="0" w:after="140"/>
        <w:ind w:left="0" w:right="0"/>
        <w:jc w:val="both"/>
      </w:pPr>
      <w:r>
        <w:rPr>
          <w:rStyle w:val="CharStyle7"/>
        </w:rPr>
        <w:t>HELCOM</w:t>
      </w:r>
      <w:hyperlink w:anchor="bookmark86" w:tooltip="Current Document">
        <w:r>
          <w:rPr>
            <w:rStyle w:val="CharStyle7"/>
          </w:rPr>
          <w:t xml:space="preserve"> </w:t>
        </w:r>
        <w:r>
          <w:rPr>
            <w:rStyle w:val="CharStyle7"/>
            <w:color w:val="2196D1"/>
          </w:rPr>
          <w:t xml:space="preserve">[25] </w:t>
        </w:r>
      </w:hyperlink>
      <w:r>
        <w:rPr>
          <w:rStyle w:val="CharStyle7"/>
        </w:rPr>
        <w:t xml:space="preserve">confirms that the Baltic grey seal population should increase its capability. This is, though, no unambitious basis for this recommendation. Hence, it is not clear what the current carrying capacity is and it is not specified by HELCOM. The only available numeric estimate for carrying capacity, presented by Blomquist et al.</w:t>
      </w:r>
      <w:hyperlink w:anchor="bookmark71" w:tooltip="Current Document">
        <w:r>
          <w:rPr>
            <w:rStyle w:val="CharStyle7"/>
          </w:rPr>
          <w:t xml:space="preserve"> </w:t>
        </w:r>
        <w:r>
          <w:rPr>
            <w:rStyle w:val="CharStyle7"/>
            <w:color w:val="2196D1"/>
          </w:rPr>
          <w:t>[9]</w:t>
        </w:r>
      </w:hyperlink>
      <w:r>
        <w:rPr>
          <w:rStyle w:val="CharStyle7"/>
        </w:rPr>
        <w:t xml:space="preserve">, is 54,600. This is apparently un underestimation because the population most fairly has already Exceded that the level. Kauhala et al.</w:t>
      </w:r>
      <w:hyperlink w:anchor="bookmark96" w:tooltip="Current Document">
        <w:r>
          <w:rPr>
            <w:rStyle w:val="CharStyle7"/>
          </w:rPr>
          <w:t xml:space="preserve"> </w:t>
        </w:r>
        <w:r>
          <w:rPr>
            <w:rStyle w:val="CharStyle7"/>
            <w:color w:val="2196D1"/>
          </w:rPr>
          <w:t xml:space="preserve">[35] </w:t>
        </w:r>
      </w:hyperlink>
      <w:r>
        <w:rPr>
          <w:rStyle w:val="CharStyle7"/>
        </w:rPr>
        <w:t xml:space="preserve">noteworthy that the declared dependency rate vacuum that grey seal population in the northern Baltic Sea may be close to the carrying capacity. Furthermore, the concept of a carrying capacity is highly theoretical and context specific. It depends on ecological conditions and human actions, and this tend to vary. The amount of food available for seals Varies yearly and in the long-term. Clearly, the car- rying capacity cannot be any fixed number of animals.</w:t>
      </w:r>
    </w:p>
    <w:p>
      <w:pPr>
        <w:pStyle w:val="Style61"/>
        <w:keepNext/>
        <w:keepLines/>
        <w:widowControl w:val="0"/>
        <w:numPr>
          <w:ilvl w:val="2"/>
          <w:numId w:val="1"/>
        </w:numPr>
        <w:shd w:val="clear" w:color="auto" w:fill="auto"/>
        <w:tabs>
          <w:tab w:pos="519" w:val="left"/>
        </w:tabs>
        <w:spacing w:before="0" w:after="0"/>
        <w:ind w:left="0" w:right="0" w:firstLine="0"/>
        <w:jc w:val="both"/>
      </w:pPr>
      <w:bookmarkStart w:id="46" w:name="bookmark46"/>
      <w:r>
        <w:rPr>
          <w:rStyle w:val="CharStyle62"/>
          <w:i/>
        </w:rPr>
        <w:t xml:space="preserve">Grey seal population in the southern Baltic Sea</w:t>
      </w:r>
      <w:bookmarkEnd w:id="46"/>
    </w:p>
    <w:p>
      <w:pPr>
        <w:pStyle w:val="Style6"/>
        <w:keepNext w:val="0"/>
        <w:keepLines w:val="0"/>
        <w:widowControl w:val="0"/>
        <w:shd w:val="clear" w:color="auto" w:fill="auto"/>
        <w:spacing w:before="0" w:after="140"/>
        <w:ind w:left="0" w:right="0"/>
        <w:jc w:val="both"/>
      </w:pPr>
      <w:r>
        <w:rPr>
          <w:rStyle w:val="CharStyle7"/>
        </w:rPr>
        <w:t xml:space="preserve">One of the choices of</w:t>
      </w:r>
      <w:hyperlink w:anchor="bookmark86" w:tooltip="Current Document">
        <w:r>
          <w:rPr>
            <w:rStyle w:val="CharStyle7"/>
          </w:rPr>
          <w:t xml:space="preserve"> </w:t>
        </w:r>
        <w:r>
          <w:rPr>
            <w:rStyle w:val="CharStyle7"/>
            <w:color w:val="2196D1"/>
          </w:rPr>
          <w:t xml:space="preserve">[25] </w:t>
        </w:r>
      </w:hyperlink>
      <w:r>
        <w:rPr>
          <w:rStyle w:val="CharStyle7"/>
        </w:rPr>
        <w:t xml:space="preserve">is that the grey seal population should extend to all eligible breeding areas in the Baltic region.</w:t>
      </w:r>
      <w:hyperlink w:anchor="bookmark88" w:tooltip="Current Document">
        <w:r>
          <w:rPr>
            <w:rStyle w:val="CharStyle7"/>
          </w:rPr>
          <w:t xml:space="preserve"> </w:t>
        </w:r>
        <w:r>
          <w:rPr>
            <w:rStyle w:val="CharStyle7"/>
            <w:color w:val="2196D1"/>
          </w:rPr>
          <w:t xml:space="preserve">[27,28] </w:t>
        </w:r>
      </w:hyperlink>
      <w:r>
        <w:rPr>
          <w:rStyle w:val="CharStyle7"/>
        </w:rPr>
        <w:t xml:space="preserve">notes that some known history grey seal spaces in the southern Baltic are currently not used, and some have Vanished. According to</w:t>
      </w:r>
      <w:hyperlink w:anchor="bookmark80" w:tooltip="Current Document">
        <w:r>
          <w:rPr>
            <w:rStyle w:val="CharStyle7"/>
          </w:rPr>
          <w:t xml:space="preserve"> </w:t>
        </w:r>
        <w:r>
          <w:rPr>
            <w:rStyle w:val="CharStyle7"/>
            <w:color w:val="2196D1"/>
          </w:rPr>
          <w:t>[19]</w:t>
        </w:r>
      </w:hyperlink>
      <w:r>
        <w:rPr>
          <w:rStyle w:val="CharStyle7"/>
        </w:rPr>
        <w:t xml:space="preserve">, on the German Baltic coast this is in practice no haul-out sites for grey seal feeding while increasing recovering sites can be observed there. This also note that in the coastal areas of the southwestern Baltic Sea diverse human activities, such as vessel traffic, are intending and using disturbances. It can be suggested that using the situation in the southern Baltic as an indication of invaluable state of the entire Baltic grey seal population is questioned and mislead. The amount of breeding grey seals in the southern Baltic Sea may not reach much higher abundance less the breeding sites are rested, and human disturbances are markedly reduced.</w:t>
      </w:r>
    </w:p>
    <w:p>
      <w:pPr>
        <w:pStyle w:val="Style61"/>
        <w:keepNext/>
        <w:keepLines/>
        <w:widowControl w:val="0"/>
        <w:numPr>
          <w:ilvl w:val="2"/>
          <w:numId w:val="1"/>
        </w:numPr>
        <w:shd w:val="clear" w:color="auto" w:fill="auto"/>
        <w:tabs>
          <w:tab w:pos="519" w:val="left"/>
        </w:tabs>
        <w:spacing w:before="0" w:after="0"/>
        <w:ind w:left="0" w:right="0" w:firstLine="0"/>
        <w:jc w:val="both"/>
      </w:pPr>
      <w:bookmarkStart w:id="48" w:name="bookmark48"/>
      <w:r>
        <w:rPr>
          <w:rStyle w:val="CharStyle62"/>
          <w:i/>
        </w:rPr>
        <w:t xml:space="preserve">Population growth rate and the carrying capacity</w:t>
      </w:r>
      <w:bookmarkEnd w:id="48"/>
    </w:p>
    <w:p>
      <w:pPr>
        <w:pStyle w:val="Style6"/>
        <w:keepNext w:val="0"/>
        <w:keepLines w:val="0"/>
        <w:widowControl w:val="0"/>
        <w:shd w:val="clear" w:color="auto" w:fill="auto"/>
        <w:spacing w:before="0" w:after="140"/>
        <w:ind w:left="0" w:right="0"/>
        <w:jc w:val="both"/>
      </w:pPr>
      <w:r>
        <w:rPr>
          <w:rStyle w:val="CharStyle7"/>
        </w:rPr>
        <w:t xml:space="preserve">HELCOM requires a minimum 7 % annual increase in population size in Baltic grey seal population until the carrying capacity is reached. When the carrying capacity is reached, the HELCOM target changes to a requirement that no decrease greater than 10 % should occur during a 10-year period. The source of conflict is that this is no unanimous agreement when the carrying capacity has been reached. HELCOM has not defined the carrying capacity of Baltic population but notes</w:t>
      </w:r>
      <w:hyperlink w:anchor="bookmark88" w:tooltip="Current Document">
        <w:r>
          <w:rPr>
            <w:rStyle w:val="CharStyle7"/>
          </w:rPr>
          <w:t xml:space="preserve"> </w:t>
        </w:r>
        <w:r>
          <w:rPr>
            <w:rStyle w:val="CharStyle7"/>
            <w:color w:val="2196D1"/>
          </w:rPr>
          <w:t>[27,28]</w:t>
        </w:r>
      </w:hyperlink>
      <w:r>
        <w:rPr>
          <w:rStyle w:val="CharStyle7"/>
          <w:color w:val="2196D1"/>
        </w:rPr>
        <w:t xml:space="preserve"> </w:t>
      </w:r>
      <w:r>
        <w:rPr>
          <w:rStyle w:val="CharStyle7"/>
        </w:rPr>
        <w:t xml:space="preserve">that </w:t>
      </w:r>
      <w:r>
        <w:rPr>
          <w:rStyle w:val="CharStyle7"/>
          <w:sz w:val="14"/>
        </w:rPr>
        <w:t>“</w:t>
      </w:r>
      <w:r>
        <w:rPr>
          <w:rStyle w:val="CharStyle7"/>
        </w:rPr>
        <w:t xml:space="preserve">the growth rate of the Baltic grey seal population has lived off in recent years, noting that the grey seal is approaching the carrying CA- pacity</w:t>
      </w:r>
      <w:r>
        <w:rPr>
          <w:rStyle w:val="CharStyle7"/>
          <w:sz w:val="14"/>
        </w:rPr>
        <w:t>”</w:t>
      </w:r>
      <w:r>
        <w:rPr>
          <w:rStyle w:val="CharStyle7"/>
        </w:rPr>
        <w:t xml:space="preserve">. Hence, it is not realistic to ensure that the population in the northern Baltic Sea can continue to grow at a rate of 7 %.</w:t>
      </w:r>
    </w:p>
    <w:p>
      <w:pPr>
        <w:pStyle w:val="Style56"/>
        <w:keepNext/>
        <w:keepLines/>
        <w:widowControl w:val="0"/>
        <w:numPr>
          <w:ilvl w:val="1"/>
          <w:numId w:val="1"/>
        </w:numPr>
        <w:shd w:val="clear" w:color="auto" w:fill="auto"/>
        <w:tabs>
          <w:tab w:pos="385" w:val="left"/>
        </w:tabs>
        <w:spacing w:before="0"/>
        <w:ind w:left="0" w:right="0" w:firstLine="0"/>
        <w:jc w:val="both"/>
      </w:pPr>
      <w:bookmarkStart w:id="50" w:name="bookmark50"/>
      <w:r>
        <w:rPr>
          <w:rStyle w:val="CharStyle57"/>
          <w:i/>
        </w:rPr>
        <w:t xml:space="preserve">Inconsistencies in the EU legal framework</w:t>
      </w:r>
      <w:bookmarkEnd w:id="50"/>
    </w:p>
    <w:p>
      <w:pPr>
        <w:pStyle w:val="Style6"/>
        <w:keepNext w:val="0"/>
        <w:keepLines w:val="0"/>
        <w:widowControl w:val="0"/>
        <w:shd w:val="clear" w:color="auto" w:fill="auto"/>
        <w:spacing w:before="0" w:after="0"/>
        <w:ind w:left="0" w:right="0"/>
        <w:jc w:val="both"/>
      </w:pPr>
      <w:r>
        <w:rPr>
          <w:rStyle w:val="CharStyle7"/>
        </w:rPr>
        <w:t xml:space="preserve">This are Inconsistencies also in the EU legal framework. The AS- sessments of progress towards good environmental status (GES) under MSFD differs in humans from the Favourable Conservation Status (FCS) goal of HD, as the requirements and assessment scales</w:t>
      </w:r>
      <w:hyperlink w:anchor="bookmark84" w:tooltip="Current Document">
        <w:r>
          <w:rPr>
            <w:rStyle w:val="CharStyle7"/>
          </w:rPr>
          <w:t xml:space="preserve"> </w:t>
        </w:r>
        <w:r>
          <w:rPr>
            <w:rStyle w:val="CharStyle7"/>
            <w:color w:val="2196D1"/>
          </w:rPr>
          <w:t>[23]</w:t>
        </w:r>
      </w:hyperlink>
      <w:r>
        <w:rPr>
          <w:rStyle w:val="CharStyle7"/>
        </w:rPr>
        <w:t xml:space="preserve">. The definition for FCS under the HD is markedly more detached than the GES of the MSFD, and including historical, future as well as spatial components. An importer difference is also the fact that HD evaluations are carried out on a national basis Whereas MSFD evaluation, as it concern wildlife species, is for populations or management units and is thus dependent of national boundaries, and included a regional compliant above. The HD authorises member countries to make their own discussions of the requirements</w:t>
      </w:r>
      <w:hyperlink w:anchor="bookmark102" w:tooltip="Current Document">
        <w:r>
          <w:rPr>
            <w:rStyle w:val="CharStyle7"/>
          </w:rPr>
          <w:t xml:space="preserve"> </w:t>
        </w:r>
        <w:r>
          <w:rPr>
            <w:rStyle w:val="CharStyle7"/>
            <w:color w:val="2196D1"/>
          </w:rPr>
          <w:t>[47]</w:t>
        </w:r>
      </w:hyperlink>
      <w:r>
        <w:rPr>
          <w:rStyle w:val="CharStyle7"/>
        </w:rPr>
        <w:t>.</w:t>
      </w:r>
    </w:p>
    <w:p>
      <w:pPr>
        <w:pStyle w:val="Style6"/>
        <w:keepNext w:val="0"/>
        <w:keepLines w:val="0"/>
        <w:widowControl w:val="0"/>
        <w:shd w:val="clear" w:color="auto" w:fill="auto"/>
        <w:spacing w:before="0" w:after="0"/>
        <w:ind w:left="0" w:right="0"/>
        <w:jc w:val="both"/>
      </w:pPr>
      <w:r>
        <w:rPr>
          <w:rStyle w:val="CharStyle7"/>
        </w:rPr>
        <w:t xml:space="preserve">It is import to note that it is not the MSFD itself that has an input of spatial scale; rather, EU Commission Decision 2017/848 suggests as scale of assessment beyond coastal waters, subdivisions of the region or subregion, divided where replaced by national residents. Baltic coastal states granted to follow HELCOM scale of the total region based of national boundaries. The existence of incoming approaches is a separate challenge from the assessment scales, but it is linked to it conclusions may be dependent on where they are applied. Further to that, the MSFD allows for sustainable levels of human activity. Hence, while for the HD the favorable reference value is taking place towards pristine conditions, for MSFD there is the discretion for a novel approach that inclusion des hunting and fishing for example.</w:t>
      </w:r>
    </w:p>
    <w:p>
      <w:pPr>
        <w:pStyle w:val="Style6"/>
        <w:keepNext w:val="0"/>
        <w:keepLines w:val="0"/>
        <w:widowControl w:val="0"/>
        <w:shd w:val="clear" w:color="auto" w:fill="auto"/>
        <w:spacing w:before="0" w:after="0" w:line="293" w:lineRule="auto"/>
        <w:ind w:left="0" w:right="0"/>
        <w:jc w:val="both"/>
      </w:pPr>
      <w:r>
        <w:rPr>
          <w:rStyle w:val="CharStyle7"/>
        </w:rPr>
        <w:t xml:space="preserve">These Inconsistencies within the EU legal framework highlight the challenge of governing, changing ecological realities such as the inward screening of seals and their growing impact on human activities. The geographical reference for the data that is used may alter the perception of the problem, and that is an issue from the standpoint of HELCOM and MSFD since they contribute to the whole region, thus distorting effects that each other and South of the Baltic Sea. On the other hand, the scale used by the HD raises other issues; while Germany and Poland are located in the South and benefit from a similar status inside their boundaries, for Sweden this may be difficult to Govern due to the long latitudinal length of its coast. This serves to highlight how EU laws governing the problem can resolve problems for one Member State and create problems for another.</w:t>
      </w:r>
    </w:p>
    <w:p>
      <w:pPr>
        <w:pStyle w:val="Style6"/>
        <w:keepNext w:val="0"/>
        <w:keepLines w:val="0"/>
        <w:widowControl w:val="0"/>
        <w:shd w:val="clear" w:color="auto" w:fill="auto"/>
        <w:spacing w:before="0" w:after="0" w:line="293" w:lineRule="auto"/>
        <w:ind w:left="0" w:right="0"/>
        <w:jc w:val="both"/>
      </w:pPr>
      <w:r>
        <w:rPr>
          <w:rStyle w:val="CharStyle7"/>
        </w:rPr>
        <w:t xml:space="preserve">The productivity of the sea and intensity of fisheries has been dramatically above the past decades and pristine conditions are achieved. Therefore, target levels should be realistic and account the real situation. The GES criteria of the MSFD are accepted that ecosystems are not pristine and that human activities exist. Nonetheless, guidelines for the implementation of MSFD comment that threshold values for the criteria used in the assessment should be considered with the Favourable Reference Population and Range values established under HD. How these are aligned is not clear.</w:t>
      </w:r>
      <w:hyperlink w:anchor="bookmark84" w:tooltip="Current Document">
        <w:r>
          <w:rPr>
            <w:rStyle w:val="CharStyle7"/>
          </w:rPr>
          <w:t xml:space="preserve"> </w:t>
        </w:r>
        <w:r>
          <w:rPr>
            <w:rStyle w:val="CharStyle7"/>
            <w:color w:val="2196D1"/>
          </w:rPr>
          <w:t xml:space="preserve">[23] </w:t>
        </w:r>
      </w:hyperlink>
      <w:r>
        <w:rPr>
          <w:rStyle w:val="CharStyle7"/>
        </w:rPr>
        <w:t xml:space="preserve">note that GES criteria of MSFD are considered with the HELCOM management framework and the core input dicators for seals, but in many cases in contrast with the FRP of HD approach. These discrepancies can be a major cause of concern and confusion in practical application of EU Directives</w:t>
      </w:r>
      <w:hyperlink w:anchor="bookmark69" w:tooltip="Current Document">
        <w:r>
          <w:rPr>
            <w:rStyle w:val="CharStyle7"/>
          </w:rPr>
          <w:t xml:space="preserve"> </w:t>
        </w:r>
        <w:r>
          <w:rPr>
            <w:rStyle w:val="CharStyle7"/>
            <w:color w:val="2196D1"/>
          </w:rPr>
          <w:t>[7]</w:t>
        </w:r>
      </w:hyperlink>
      <w:r>
        <w:rPr>
          <w:rStyle w:val="CharStyle7"/>
        </w:rPr>
        <w:t>.</w:t>
      </w:r>
    </w:p>
    <w:p>
      <w:pPr>
        <w:pStyle w:val="Style6"/>
        <w:keepNext w:val="0"/>
        <w:keepLines w:val="0"/>
        <w:widowControl w:val="0"/>
        <w:shd w:val="clear" w:color="auto" w:fill="auto"/>
        <w:spacing w:before="0" w:after="140" w:line="293" w:lineRule="auto"/>
        <w:ind w:left="0" w:right="0"/>
        <w:jc w:val="both"/>
      </w:pPr>
      <w:r>
        <w:rPr>
          <w:rStyle w:val="CharStyle7"/>
        </w:rPr>
        <w:t>Furthermore,</w:t>
      </w:r>
      <w:hyperlink w:anchor="bookmark84" w:tooltip="Current Document">
        <w:r>
          <w:rPr>
            <w:rStyle w:val="CharStyle7"/>
          </w:rPr>
          <w:t xml:space="preserve"> </w:t>
        </w:r>
        <w:r>
          <w:rPr>
            <w:rStyle w:val="CharStyle7"/>
            <w:color w:val="2196D1"/>
          </w:rPr>
          <w:t xml:space="preserve">[23] </w:t>
        </w:r>
      </w:hyperlink>
      <w:r>
        <w:rPr>
          <w:rStyle w:val="CharStyle7"/>
        </w:rPr>
        <w:t xml:space="preserve">note that by using the MSFD GES criteria and HELCOM core indicators, the Baltic grey seal population is in good environmental status regarding population trends and abundance. However, when evaluated by the HD, the required spatial scale is limited to the national level which causes the species to fail FRP in the countries which the species has correctly re-colonised, i.e., in Denmark, Germany and Poland.</w:t>
      </w:r>
    </w:p>
    <w:p>
      <w:pPr>
        <w:pStyle w:val="Style46"/>
        <w:keepNext/>
        <w:keepLines/>
        <w:widowControl w:val="0"/>
        <w:numPr>
          <w:ilvl w:val="0"/>
          <w:numId w:val="1"/>
        </w:numPr>
        <w:shd w:val="clear" w:color="auto" w:fill="auto"/>
        <w:tabs>
          <w:tab w:pos="265" w:val="left"/>
        </w:tabs>
        <w:spacing w:before="0"/>
        <w:ind w:left="0" w:right="0" w:firstLine="0"/>
        <w:jc w:val="both"/>
      </w:pPr>
      <w:bookmarkStart w:id="52" w:name="bookmark52"/>
      <w:r>
        <w:rPr>
          <w:rStyle w:val="CharStyle47"/>
          <w:b/>
        </w:rPr>
        <w:t>Discussion</w:t>
      </w:r>
      <w:bookmarkEnd w:id="52"/>
    </w:p>
    <w:p>
      <w:pPr>
        <w:pStyle w:val="Style6"/>
        <w:keepNext w:val="0"/>
        <w:keepLines w:val="0"/>
        <w:widowControl w:val="0"/>
        <w:shd w:val="clear" w:color="auto" w:fill="auto"/>
        <w:spacing w:before="0" w:after="0" w:line="293" w:lineRule="auto"/>
        <w:ind w:left="0" w:right="0"/>
        <w:jc w:val="both"/>
      </w:pPr>
      <w:r>
        <w:rPr>
          <w:rStyle w:val="CharStyle7"/>
        </w:rPr>
        <w:t xml:space="preserve">The fundamental problem in the Baltic fishery conflict is that solid grey seal population is markedly increased and is currently not under threat, a further increase of the population is still prized by HELCOM and EU. This is done at the exclusion of economic and social sustainability. Threats by the conflict is expected to continue as serious and there is further risk that more Fishers will leave the fishing liveli- Hood. The current governance arrangement is not compatible with thriving and profitable coastal fisheries. The management criteria for seats are in conflict with the choices of the EU common fisheries policy (CFP) that “seek to ensure a reasonable standard of living for those dependent on the fishing industry”</w:t>
      </w:r>
      <w:hyperlink w:anchor="bookmark79" w:tooltip="Current Document">
        <w:r>
          <w:rPr>
            <w:rStyle w:val="CharStyle7"/>
          </w:rPr>
          <w:t xml:space="preserve"> </w:t>
        </w:r>
        <w:r>
          <w:rPr>
            <w:rStyle w:val="CharStyle7"/>
            <w:color w:val="2196D1"/>
          </w:rPr>
          <w:t>[17]</w:t>
        </w:r>
      </w:hyperlink>
      <w:r>
        <w:rPr>
          <w:rStyle w:val="CharStyle7"/>
        </w:rPr>
        <w:t>.</w:t>
      </w:r>
    </w:p>
    <w:p>
      <w:pPr>
        <w:pStyle w:val="Style6"/>
        <w:keepNext w:val="0"/>
        <w:keepLines w:val="0"/>
        <w:widowControl w:val="0"/>
        <w:shd w:val="clear" w:color="auto" w:fill="auto"/>
        <w:spacing w:before="0" w:after="0" w:line="293" w:lineRule="auto"/>
        <w:ind w:left="0" w:right="0"/>
        <w:jc w:val="both"/>
      </w:pPr>
      <w:r>
        <w:rPr>
          <w:rStyle w:val="CharStyle7"/>
        </w:rPr>
        <w:t xml:space="preserve">Grey seal predation on fish stocks in the Baltic Sea is substantial and many of the stocks affected by destinations are very importing also to fish </w:t>
      </w:r>
      <w:hyperlink w:anchor="bookmark82" w:tooltip="Current Document">
        <w:r>
          <w:rPr>
            <w:rStyle w:val="CharStyle7"/>
            <w:color w:val="2196D1"/>
          </w:rPr>
          <w:t>[21]</w:t>
        </w:r>
      </w:hyperlink>
      <w:r>
        <w:rPr>
          <w:rStyle w:val="CharStyle7"/>
        </w:rPr>
        <w:t xml:space="preserve">. In case the management of grey seal population would follow the principles of the ecosystem-based management, this predation should be taken into account. In ecosystem-based management the general goal is to maintain the overall ecosystem systems in a healthy, productive and resilient condition. All species, including protected species, are taken into AC- count in the management.</w:t>
      </w:r>
    </w:p>
    <w:p>
      <w:pPr>
        <w:pStyle w:val="Style6"/>
        <w:keepNext w:val="0"/>
        <w:keepLines w:val="0"/>
        <w:widowControl w:val="0"/>
        <w:shd w:val="clear" w:color="auto" w:fill="auto"/>
        <w:spacing w:before="0" w:after="0" w:line="293" w:lineRule="auto"/>
        <w:ind w:left="0" w:right="0"/>
        <w:jc w:val="both"/>
      </w:pPr>
      <w:r>
        <w:rPr>
          <w:rStyle w:val="CharStyle7"/>
        </w:rPr>
        <w:t xml:space="preserve">We argue that the existing choices and management criteria of Baltic grey seal population are unrealistic and overly ambitious under the current ecological situation. The optimal management of seal-fishery conflict requirements reassessment of existing governance arrangements. A durable solution required taking into consideration and balancing the views and perceptions of fishing sector, coastal communities, and the conser- vation sector. Blomquist et al.</w:t>
      </w:r>
      <w:hyperlink w:anchor="bookmark71" w:tooltip="Current Document">
        <w:r>
          <w:rPr>
            <w:rStyle w:val="CharStyle7"/>
          </w:rPr>
          <w:t xml:space="preserve"> </w:t>
        </w:r>
        <w:r>
          <w:rPr>
            <w:rStyle w:val="CharStyle7"/>
            <w:color w:val="2196D1"/>
          </w:rPr>
          <w:t xml:space="preserve">[9] demonstrated </w:t>
        </w:r>
      </w:hyperlink>
      <w:r>
        <w:rPr>
          <w:rStyle w:val="CharStyle7"/>
        </w:rPr>
        <w:t xml:space="preserve">that the optimal grey seal population in the Baltic Sea would be much lower than the current population size. Their concept of optimal seal population takes into account the socio-economic considerations, including issues related to the continuity of the livelihoods and cultural heritage of the archipelagic and the coast</w:t>
      </w:r>
      <w:hyperlink w:anchor="bookmark114" w:tooltip="Current Document">
        <w:r>
          <w:rPr>
            <w:rStyle w:val="CharStyle7"/>
          </w:rPr>
          <w:t xml:space="preserve"> </w:t>
        </w:r>
        <w:r>
          <w:rPr>
            <w:rStyle w:val="CharStyle7"/>
            <w:color w:val="2196D1"/>
          </w:rPr>
          <w:t>[67]</w:t>
        </w:r>
      </w:hyperlink>
      <w:r>
        <w:rPr>
          <w:rStyle w:val="CharStyle7"/>
        </w:rPr>
        <w:t>.</w:t>
      </w:r>
    </w:p>
    <w:p>
      <w:pPr>
        <w:pStyle w:val="Style6"/>
        <w:keepNext w:val="0"/>
        <w:keepLines w:val="0"/>
        <w:widowControl w:val="0"/>
        <w:shd w:val="clear" w:color="auto" w:fill="auto"/>
        <w:spacing w:before="0" w:after="0"/>
        <w:ind w:left="0" w:right="0"/>
        <w:jc w:val="both"/>
      </w:pPr>
      <w:r>
        <w:rPr>
          <w:rStyle w:val="CharStyle7"/>
        </w:rPr>
        <w:t xml:space="preserve">We continue that the Baltic grey population substantially meets EU Habitats</w:t>
      </w:r>
      <w:r>
        <w:rPr>
          <w:rStyle w:val="CharStyle7"/>
          <w:sz w:val="14"/>
        </w:rPr>
        <w:t>Directive</w:t>
      </w:r>
      <w:r>
        <w:rPr>
          <w:rStyle w:val="CharStyle7"/>
        </w:rPr>
        <w:t xml:space="preserve">’s criteria. If the current ecological conditions continue in the Baltic Sea, this is no reason to ensure that the population would not be able to maintain itself as a viable complement of its natural habitats. This is a sufficiently large habitat to maintain its populations on a long- term basis even with the progress of climate change. However, in the countries where the species has correctly re-colonised (i.e., Denmark, Germany, and Poland) the population does not yet meet all the criteria. Use of such biological realities, the coastal States around the Baltic Sea have different policies on seal management and hunting. The status of the population in the southwestern Baltic should not be used as an indication that the future population has not been reached a favourable conservation status. It is also noteworthy that HD does not require population growth until the carrying capacity.</w:t>
      </w:r>
    </w:p>
    <w:p>
      <w:pPr>
        <w:pStyle w:val="Style6"/>
        <w:keepNext w:val="0"/>
        <w:keepLines w:val="0"/>
        <w:widowControl w:val="0"/>
        <w:shd w:val="clear" w:color="auto" w:fill="auto"/>
        <w:spacing w:before="0" w:after="0"/>
        <w:ind w:left="0" w:right="0"/>
        <w:jc w:val="both"/>
      </w:pPr>
      <w:r>
        <w:rPr>
          <w:rStyle w:val="CharStyle7"/>
        </w:rPr>
        <w:t xml:space="preserve">HELCOM recommendations contradict the objectives of Marine Strategy Framework (MSFD) and even the updated HELCOM Baltic Sea Action Plan</w:t>
      </w:r>
      <w:hyperlink w:anchor="bookmark90" w:tooltip="Current Document">
        <w:r>
          <w:rPr>
            <w:rStyle w:val="CharStyle7"/>
          </w:rPr>
          <w:t xml:space="preserve"> </w:t>
        </w:r>
        <w:r>
          <w:rPr>
            <w:rStyle w:val="CharStyle7"/>
            <w:color w:val="2196D1"/>
          </w:rPr>
          <w:t xml:space="preserve">[29] </w:t>
        </w:r>
      </w:hyperlink>
      <w:r>
        <w:rPr>
          <w:rStyle w:val="CharStyle7"/>
        </w:rPr>
        <w:t xml:space="preserve">as biological instruments that environmental objectives should be implemented within the scope of an ecosystem approach. This adds that the major losses and damages to fisheries and fish stocks put in danger by the growing grey seal population should be recorded for the management.</w:t>
      </w:r>
    </w:p>
    <w:p>
      <w:pPr>
        <w:pStyle w:val="Style6"/>
        <w:keepNext w:val="0"/>
        <w:keepLines w:val="0"/>
        <w:widowControl w:val="0"/>
        <w:shd w:val="clear" w:color="auto" w:fill="auto"/>
        <w:spacing w:before="0" w:after="0"/>
        <w:ind w:left="0" w:right="0"/>
        <w:jc w:val="both"/>
      </w:pPr>
      <w:r>
        <w:rPr>
          <w:rStyle w:val="CharStyle7"/>
        </w:rPr>
        <w:t xml:space="preserve">The EU trade ban on seal products remains a problematic hurdle. In EU, destinations cannot be used in any other way than in the</w:t>
      </w:r>
      <w:r>
        <w:rPr>
          <w:rStyle w:val="CharStyle7"/>
          <w:sz w:val="14"/>
        </w:rPr>
        <w:t>Hunter</w:t>
      </w:r>
      <w:r>
        <w:rPr>
          <w:rStyle w:val="CharStyle7"/>
        </w:rPr>
        <w:t xml:space="preserve">’s own household. This is effectively empowering all the potential socio-economic benefits of hunting and contributing to the under-utilisation of hunting quotas. Furthermore, there are views that marine mammals should not be ignored as potential food resources as part of food security</w:t>
      </w:r>
      <w:hyperlink w:anchor="bookmark81" w:tooltip="Current Document">
        <w:r>
          <w:rPr>
            <w:rStyle w:val="CharStyle7"/>
          </w:rPr>
          <w:t xml:space="preserve"> </w:t>
        </w:r>
        <w:r>
          <w:rPr>
            <w:rStyle w:val="CharStyle7"/>
            <w:color w:val="2196D1"/>
          </w:rPr>
          <w:t>[20,70]</w:t>
        </w:r>
      </w:hyperlink>
      <w:r>
        <w:rPr>
          <w:rStyle w:val="CharStyle7"/>
        </w:rPr>
        <w:t xml:space="preserve">. When a seal population is healthy, it represents a low-carbon and nutritionally high quality resource to be exploited locally (see also </w:t>
      </w:r>
      <w:hyperlink w:anchor="bookmark107" w:tooltip="Current Document">
        <w:r>
          <w:rPr>
            <w:rStyle w:val="CharStyle7"/>
            <w:color w:val="2196D1"/>
          </w:rPr>
          <w:t>[55]</w:t>
        </w:r>
      </w:hyperlink>
      <w:r>
        <w:rPr>
          <w:rStyle w:val="CharStyle7"/>
        </w:rPr>
        <w:t xml:space="preserve">). All Baltic seal species are subject to regular monitoring and AS- sessments, and in case a population would show unsuitable designation, the EU rules available coastal states to close the hunt without delay. Hence, there are little risk for over-exploitation.</w:t>
      </w:r>
    </w:p>
    <w:p>
      <w:pPr>
        <w:pStyle w:val="Style6"/>
        <w:keepNext w:val="0"/>
        <w:keepLines w:val="0"/>
        <w:widowControl w:val="0"/>
        <w:shd w:val="clear" w:color="auto" w:fill="auto"/>
        <w:spacing w:before="0" w:after="0"/>
        <w:ind w:left="0" w:right="0"/>
        <w:jc w:val="both"/>
      </w:pPr>
      <w:r>
        <w:rPr>
          <w:rStyle w:val="CharStyle7"/>
        </w:rPr>
        <w:t xml:space="preserve">The conflict between seal conservation and coastal fishery in the</w:t>
      </w:r>
    </w:p>
    <w:p>
      <w:pPr>
        <w:pStyle w:val="Style6"/>
        <w:keepNext w:val="0"/>
        <w:keepLines w:val="0"/>
        <w:widowControl w:val="0"/>
        <w:shd w:val="clear" w:color="auto" w:fill="auto"/>
        <w:spacing w:before="0" w:after="0" w:line="293" w:lineRule="auto"/>
        <w:ind w:left="0" w:right="0" w:firstLine="0"/>
        <w:jc w:val="both"/>
      </w:pPr>
      <w:r>
        <w:rPr>
          <w:rStyle w:val="CharStyle7"/>
        </w:rPr>
        <w:t xml:space="preserve">Baltic Sea is complex and there are no emergencies solutions, but nonetheless, solutions must be found. The current balance is Tilted towards the con- observation concerns while pressures over economic activities and culture of coastal communities associated with fisheries are substantially ignored. The Baltic grey seal population has reached a sustainable status and the protection should not be the sole and primary objective of the man</w:t>
        <w:softHyphen/>
        <w:t xml:space="preserve">agement. This is an urgent need to develop an optimal balance between the sustainable size of the grey seal population and the viability of the coastal fishing sector at the same time promoting a balanced co-existence of seals and humans. Such a system opened to provide trade-offs</w:t>
        <w:softHyphen/>
        <w:t xml:space="preserve">acceptable to all key stakeholders. This is ultimately a human-to-human conflict.</w:t>
      </w:r>
    </w:p>
    <w:p>
      <w:pPr>
        <w:pStyle w:val="Style6"/>
        <w:keepNext w:val="0"/>
        <w:keepLines w:val="0"/>
        <w:widowControl w:val="0"/>
        <w:shd w:val="clear" w:color="auto" w:fill="auto"/>
        <w:spacing w:before="0" w:after="140" w:line="293" w:lineRule="auto"/>
        <w:ind w:left="0" w:right="0"/>
        <w:jc w:val="both"/>
      </w:pPr>
      <w:r>
        <w:rPr>
          <w:rStyle w:val="CharStyle7"/>
        </w:rPr>
        <w:t xml:space="preserve">In conclusion, institutions involved in the governance of grey seal population management should reflect their management choices and criteria with a view of creating flexible regimes that more harmoniously responds to local concerns. Such actions could possibly lead to a new management approach on seal populations and a more harmonised balance with other legitimate interests.</w:t>
      </w:r>
    </w:p>
    <w:p>
      <w:pPr>
        <w:pStyle w:val="Style46"/>
        <w:keepNext/>
        <w:keepLines/>
        <w:widowControl w:val="0"/>
        <w:shd w:val="clear" w:color="auto" w:fill="auto"/>
        <w:spacing w:before="0"/>
        <w:ind w:left="0" w:right="0" w:firstLine="0"/>
        <w:jc w:val="left"/>
      </w:pPr>
      <w:bookmarkStart w:id="54" w:name="bookmark54"/>
      <w:r>
        <w:rPr>
          <w:rStyle w:val="CharStyle47"/>
          <w:b/>
        </w:rPr>
        <w:t xml:space="preserve">Author Statement</w:t>
      </w:r>
      <w:bookmarkEnd w:id="54"/>
    </w:p>
    <w:p>
      <w:pPr>
        <w:pStyle w:val="Style6"/>
        <w:keepNext w:val="0"/>
        <w:keepLines w:val="0"/>
        <w:widowControl w:val="0"/>
        <w:shd w:val="clear" w:color="auto" w:fill="auto"/>
        <w:spacing w:before="0" w:after="140"/>
        <w:ind w:left="0" w:right="0"/>
        <w:jc w:val="both"/>
      </w:pPr>
      <w:r>
        <w:rPr>
          <w:rStyle w:val="CharStyle7"/>
        </w:rPr>
        <w:t xml:space="preserve">All authorisations have made a substantial contribution to the concept and design of the article, drawn and revised the article and approved the version to be published. The Authors declare there is no conflict of in-terest. The views and opinions expressed Herein are the threats of the authorisations and do not necessarily reflect on their Affiliations.</w:t>
      </w:r>
    </w:p>
    <w:p>
      <w:pPr>
        <w:pStyle w:val="Style46"/>
        <w:keepNext/>
        <w:keepLines/>
        <w:widowControl w:val="0"/>
        <w:shd w:val="clear" w:color="auto" w:fill="auto"/>
        <w:spacing w:before="0"/>
        <w:ind w:left="0" w:right="0" w:firstLine="0"/>
        <w:jc w:val="left"/>
      </w:pPr>
      <w:bookmarkStart w:id="56" w:name="bookmark56"/>
      <w:r>
        <w:rPr>
          <w:rStyle w:val="CharStyle47"/>
          <w:b/>
        </w:rPr>
        <w:t xml:space="preserve">Data Availability</w:t>
      </w:r>
      <w:bookmarkEnd w:id="56"/>
    </w:p>
    <w:p>
      <w:pPr>
        <w:pStyle w:val="Style6"/>
        <w:keepNext w:val="0"/>
        <w:keepLines w:val="0"/>
        <w:widowControl w:val="0"/>
        <w:shd w:val="clear" w:color="auto" w:fill="auto"/>
        <w:spacing w:before="0" w:after="200" w:line="293" w:lineRule="auto"/>
        <w:ind w:left="0" w:right="0"/>
        <w:jc w:val="both"/>
      </w:pPr>
      <w:r>
        <w:rPr>
          <w:rStyle w:val="CharStyle7"/>
        </w:rPr>
        <w:t xml:space="preserve">Data will be made available on request.</w:t>
      </w:r>
    </w:p>
    <w:p>
      <w:pPr>
        <w:pStyle w:val="Style46"/>
        <w:keepNext/>
        <w:keepLines/>
        <w:widowControl w:val="0"/>
        <w:shd w:val="clear" w:color="auto" w:fill="auto"/>
        <w:spacing w:before="0"/>
        <w:ind w:left="0" w:right="0" w:firstLine="0"/>
        <w:jc w:val="left"/>
      </w:pPr>
      <w:bookmarkStart w:id="58" w:name="bookmark58"/>
      <w:r>
        <w:rPr>
          <w:rStyle w:val="CharStyle47"/>
          <w:b/>
        </w:rPr>
        <w:t>Acknowledgements</w:t>
      </w:r>
      <w:bookmarkEnd w:id="58"/>
    </w:p>
    <w:p>
      <w:pPr>
        <w:pStyle w:val="Style6"/>
        <w:keepNext w:val="0"/>
        <w:keepLines w:val="0"/>
        <w:widowControl w:val="0"/>
        <w:shd w:val="clear" w:color="auto" w:fill="auto"/>
        <w:spacing w:before="0" w:after="0"/>
        <w:ind w:left="0" w:right="0"/>
        <w:jc w:val="both"/>
        <w:sectPr>
          <w:footnotePr>
            <w:pos w:val="pageBottom"/>
            <w:numFmt w:val="decimal"/>
            <w:numRestart w:val="continuous"/>
          </w:footnotePr>
          <w:type w:val="continuous"/>
          <w:pgSz w:w="12240" w:h="15840"/>
          <w:pgMar w:top="990" w:right="879" w:bottom="925" w:left="882" w:header="0" w:footer="3" w:gutter="0"/>
          <w:cols w:num="2" w:space="262"/>
          <w:noEndnote/>
          <w:rtlGutter w:val="0"/>
          <w:docGrid w:linePitch="360"/>
        </w:sectPr>
      </w:pPr>
      <w:r>
        <w:rPr>
          <w:rStyle w:val="CharStyle7"/>
        </w:rPr>
        <w:t xml:space="preserve">The authorisation is congratulated on the funding support by the Nordic Council of Ministers for the </w:t>
      </w:r>
      <w:r>
        <w:rPr>
          <w:rStyle w:val="CharStyle7"/>
          <w:i/>
        </w:rPr>
        <w:t xml:space="preserve">Regional solutions for mitigating socio-economic conflict in the Baltic Sea – Interdisciplinary synthesis</w:t>
      </w:r>
      <w:r>
        <w:rPr>
          <w:rStyle w:val="CharStyle7"/>
        </w:rPr>
        <w:t xml:space="preserve"> (RESOCO) project (226) -2021- RESOCO under which this paper was written. The authorisations Acknowledge their organisation for salary support.</w:t>
      </w:r>
    </w:p>
    <w:p>
      <w:pPr>
        <w:widowControl w:val="0"/>
        <w:spacing w:before="14" w:after="14" w:line="240" w:lineRule="exact"/>
        <w:rPr>
          <w:sz w:val="19"/>
        </w:rPr>
      </w:pPr>
    </w:p>
    <w:p>
      <w:pPr>
        <w:widowControl w:val="0"/>
        <w:spacing w:line="1" w:lineRule="exact"/>
        <w:sectPr>
          <w:footnotePr>
            <w:pos w:val="pageBottom"/>
            <w:numFmt w:val="decimal"/>
            <w:numRestart w:val="continuous"/>
          </w:footnotePr>
          <w:type w:val="continuous"/>
          <w:pgSz w:w="12240" w:h="15840"/>
          <w:pgMar w:top="966" w:right="0" w:bottom="978" w:left="0" w:header="0" w:footer="3" w:gutter="0"/>
          <w:cols w:space="720"/>
          <w:noEndnote/>
          <w:rtlGutter w:val="0"/>
          <w:docGrid w:linePitch="360"/>
        </w:sectPr>
      </w:pPr>
    </w:p>
    <w:p>
      <w:pPr>
        <w:pStyle w:val="Style46"/>
        <w:keepNext/>
        <w:keepLines/>
        <w:widowControl w:val="0"/>
        <w:shd w:val="clear" w:color="auto" w:fill="auto"/>
        <w:spacing w:before="0"/>
        <w:ind w:left="0" w:right="0" w:firstLine="0"/>
        <w:jc w:val="left"/>
      </w:pPr>
      <w:bookmarkStart w:id="60" w:name="bookmark60"/>
      <w:bookmarkStart w:id="61" w:name="bookmark61"/>
      <w:r>
        <w:rPr>
          <w:rStyle w:val="CharStyle47"/>
          <w:b/>
        </w:rPr>
        <w:t>Appendix</w:t>
      </w:r>
      <w:bookmarkEnd w:id="61"/>
      <w:bookmarkEnd w:id="60"/>
    </w:p>
    <w:p>
      <w:pPr>
        <w:pStyle w:val="Style6"/>
        <w:keepNext w:val="0"/>
        <w:keepLines w:val="0"/>
        <w:widowControl w:val="0"/>
        <w:shd w:val="clear" w:color="auto" w:fill="auto"/>
        <w:spacing w:before="0" w:after="500" w:line="293" w:lineRule="auto"/>
        <w:ind w:left="0" w:right="0"/>
        <w:jc w:val="left"/>
      </w:pPr>
      <w:r>
        <w:rPr>
          <w:rStyle w:val="CharStyle7"/>
          <w:b/>
        </w:rPr>
        <w:t xml:space="preserve">Annex 1. </w:t>
      </w:r>
      <w:r>
        <w:rPr>
          <w:rStyle w:val="CharStyle7"/>
        </w:rPr>
        <w:t xml:space="preserve">Yearly census of grey seals in</w:t>
      </w:r>
      <w:r>
        <w:rPr>
          <w:rStyle w:val="CharStyle7"/>
          <w:sz w:val="14"/>
        </w:rPr>
        <w:t>2003-2021</w:t>
      </w:r>
      <w:r>
        <w:rPr>
          <w:rStyle w:val="CharStyle7"/>
        </w:rPr>
        <w:t xml:space="preserve">in the Baltic Sea. In 2018 no census was conducted in the Finnish Archipelago area. During 2021, 406 seals were counted in Poland and 136 in Germany (those numbers are not included in the table). Data collected from early releases by the Natural Resources Institute Finland (Luke), </w:t>
      </w:r>
      <w:r>
        <w:fldChar w:fldCharType="begin"/>
      </w:r>
      <w:r>
        <w:rPr/>
        <w:instrText> HYPERLINK "https://www.luke.fi/fi/seurannat/merihyljelaskennat-ja-hyljekannan-rakenteen-seuranta/harmaahyljekanta-2022" </w:instrText>
      </w:r>
      <w:r>
        <w:fldChar w:fldCharType="separate"/>
      </w:r>
      <w:r>
        <w:rPr>
          <w:rStyle w:val="CharStyle7"/>
          <w:color w:val="2196D1"/>
        </w:rPr>
        <w:t>https://www.luke.fi/fi/seurannat/merihyljelaskennat-ja-hyljekannan-rakenteen-seuranta/harmaahyl</w:t>
      </w:r>
      <w:r>
        <w:fldChar w:fldCharType="end"/>
      </w:r>
      <w:r>
        <w:rPr>
          <w:rStyle w:val="CharStyle7"/>
          <w:color w:val="2196D1"/>
        </w:rPr>
        <w:t xml:space="preserve"> </w:t>
      </w:r>
      <w:r>
        <w:fldChar w:fldCharType="begin"/>
      </w:r>
      <w:r>
        <w:rPr/>
        <w:instrText> HYPERLINK "https://www.luke.fi/fi/seurannat/merihyljelaskennat-ja-hyljekannan-rakenteen-seuranta/harmaahyljekanta-2022" </w:instrText>
      </w:r>
      <w:r>
        <w:fldChar w:fldCharType="separate"/>
      </w:r>
      <w:r>
        <w:rPr>
          <w:rStyle w:val="CharStyle7"/>
          <w:color w:val="2196D1"/>
        </w:rPr>
        <w:t>jeanta-2022</w:t>
      </w:r>
      <w:r>
        <w:fldChar w:fldCharType="end"/>
      </w:r>
      <w:r>
        <w:rPr>
          <w:rStyle w:val="CharStyle7"/>
        </w:rPr>
        <w:t>.</w:t>
      </w:r>
    </w:p>
    <w:tbl>
      <w:tblPr>
        <w:tblOverlap w:val="never"/>
        <w:jc w:val="center"/>
        <w:tblLayout w:type="fixed"/>
      </w:tblPr>
      <w:tblGrid>
        <w:gridCol w:w="427"/>
        <w:gridCol w:w="1723"/>
        <w:gridCol w:w="955"/>
        <w:gridCol w:w="1032"/>
        <w:gridCol w:w="1536"/>
        <w:gridCol w:w="998"/>
        <w:gridCol w:w="835"/>
        <w:gridCol w:w="2150"/>
        <w:gridCol w:w="557"/>
      </w:tblGrid>
      <w:tr>
        <w:trPr>
          <w:trHeight w:val="379" w:hRule="exact"/>
        </w:trPr>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Year</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0" w:right="0" w:firstLine="0"/>
              <w:jc w:val="left"/>
              <w:rPr>
                <w:sz w:val="12"/>
              </w:rPr>
            </w:pPr>
            <w:r>
              <w:rPr>
                <w:rStyle w:val="CharStyle13"/>
                <w:sz w:val="12"/>
              </w:rPr>
              <w:t xml:space="preserve">Bothnian Bay and North Quark</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 xml:space="preserve">Sea of</w:t>
            </w:r>
          </w:p>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Bothnia</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Central</w:t>
            </w:r>
          </w:p>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Sweden</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300" w:right="0" w:firstLine="0"/>
              <w:jc w:val="left"/>
              <w:rPr>
                <w:sz w:val="12"/>
              </w:rPr>
            </w:pPr>
            <w:r>
              <w:rPr>
                <w:rStyle w:val="CharStyle13"/>
                <w:sz w:val="12"/>
              </w:rPr>
              <w:t xml:space="preserve">SW Finnish archipelago</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 xml:space="preserve">Gulf of</w:t>
            </w:r>
          </w:p>
          <w:p>
            <w:pPr>
              <w:pStyle w:val="Style12"/>
              <w:keepNext w:val="0"/>
              <w:keepLines w:val="0"/>
              <w:widowControl w:val="0"/>
              <w:shd w:val="clear" w:color="auto" w:fill="auto"/>
              <w:spacing w:before="0" w:after="0" w:line="240" w:lineRule="auto"/>
              <w:ind w:left="0" w:right="0"/>
              <w:jc w:val="left"/>
              <w:rPr>
                <w:sz w:val="12"/>
              </w:rPr>
            </w:pPr>
            <w:r>
              <w:rPr>
                <w:rStyle w:val="CharStyle13"/>
                <w:sz w:val="12"/>
              </w:rPr>
              <w:t>Finland</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Estonia</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0" w:right="0" w:firstLine="0"/>
              <w:jc w:val="both"/>
              <w:rPr>
                <w:sz w:val="12"/>
              </w:rPr>
            </w:pPr>
            <w:r>
              <w:rPr>
                <w:rStyle w:val="CharStyle13"/>
                <w:sz w:val="12"/>
              </w:rPr>
              <w:t xml:space="preserve">Southern Baltic (Swe, Den, </w:t>
            </w:r>
            <w:r>
              <w:rPr>
                <w:rStyle w:val="CharStyle13"/>
                <w:rFonts w:ascii="Times New Roman" w:hAnsi="Times New Roman" w:cs="Times New Roman" w:eastAsia="Times New Roman"/>
                <w:sz w:val="12"/>
              </w:rPr>
              <w:t xml:space="preserve">Pol </w:t>
            </w:r>
            <w:r>
              <w:rPr>
                <w:rStyle w:val="CharStyle13"/>
                <w:sz w:val="12"/>
              </w:rPr>
              <w:t>-Ger)</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0"/>
              <w:jc w:val="right"/>
              <w:rPr>
                <w:sz w:val="12"/>
              </w:rPr>
            </w:pPr>
            <w:r>
              <w:rPr>
                <w:rStyle w:val="CharStyle13"/>
                <w:sz w:val="12"/>
              </w:rPr>
              <w:t>Total</w:t>
            </w:r>
          </w:p>
        </w:tc>
      </w:tr>
      <w:tr>
        <w:trPr>
          <w:trHeight w:val="216" w:hRule="exact"/>
        </w:trPr>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2003</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710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855</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3980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6880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673</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2700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335</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16133</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1330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870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3900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7735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870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2690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245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17640</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1265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606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4462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8040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880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2660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348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18261</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789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1159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5350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9870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756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2340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435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20699</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2007</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1049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1834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6349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8516</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803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2890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550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21991</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1340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2483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4721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8308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965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3874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637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22328</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2009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1154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1460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5804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6701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1040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3441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795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20395</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642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1288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7508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8361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615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3476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1249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23139</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1667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1494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8494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5994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1417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3541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1334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23941</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1042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2647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10224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8285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888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3365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1804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28255</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659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2014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10626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9248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642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4284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2023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29496</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1911</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2464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9573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9493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1121</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4932</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2721</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32215</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1607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2727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9422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8293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820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3968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3448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30285</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1347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2699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9217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9627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1065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4088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2073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30116</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2017</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2023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2119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11103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both"/>
              <w:rPr>
                <w:sz w:val="12"/>
              </w:rPr>
            </w:pPr>
            <w:r>
              <w:rPr>
                <w:rStyle w:val="CharStyle13"/>
                <w:sz w:val="12"/>
              </w:rPr>
              <w:t>8092</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770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3558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2603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30268</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867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2507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12174</w:t>
            </w:r>
          </w:p>
        </w:tc>
        <w:tc>
          <w:tcPr>
            <w:tcBorders/>
            <w:shd w:val="clear" w:color="auto" w:fill="auto"/>
            <w:vAlign w:val="top"/>
          </w:tcPr>
          <w:p>
            <w:pPr>
              <w:widowControl w:val="0"/>
              <w:rPr>
                <w:sz w:val="10"/>
              </w:rPr>
            </w:pPr>
          </w:p>
        </w:tc>
        <w:tc>
          <w:tcPr>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164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5718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3363</w:t>
            </w:r>
          </w:p>
        </w:tc>
        <w:tc>
          <w:tcPr>
            <w:tcBorders/>
            <w:shd w:val="clear" w:color="auto" w:fill="auto"/>
            <w:vAlign w:val="top"/>
          </w:tcPr>
          <w:p>
            <w:pPr>
              <w:widowControl w:val="0"/>
              <w:rPr>
                <w:sz w:val="10"/>
              </w:rPr>
            </w:pPr>
          </w:p>
        </w:tc>
      </w:tr>
      <w:tr>
        <w:trPr>
          <w:trHeight w:val="158"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2019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1051</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1636</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12868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13033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1008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5145</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3380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38121</w:t>
            </w:r>
          </w:p>
        </w:tc>
      </w:tr>
    </w:tbl>
    <w:p>
      <w:pPr>
        <w:pStyle w:val="Style63"/>
        <w:keepNext w:val="0"/>
        <w:keepLines w:val="0"/>
        <w:widowControl w:val="0"/>
        <w:shd w:val="clear" w:color="auto" w:fill="auto"/>
        <w:spacing w:before="0" w:after="0" w:line="240" w:lineRule="auto"/>
        <w:ind w:left="0" w:right="0" w:firstLine="0"/>
        <w:jc w:val="right"/>
      </w:pPr>
      <w:r>
        <w:rPr>
          <w:rStyle w:val="CharStyle64"/>
        </w:rPr>
        <w:t>(</w:t>
      </w:r>
      <w:r>
        <w:rPr>
          <w:rStyle w:val="CharStyle64"/>
          <w:i/>
        </w:rPr>
        <w:t xml:space="preserve">continuous on next page</w:t>
      </w:r>
      <w:r>
        <w:rPr>
          <w:rStyle w:val="CharStyle64"/>
        </w:rPr>
        <w:t>)</w:t>
      </w:r>
    </w:p>
    <w:p>
      <w:pPr>
        <w:pStyle w:val="Style23"/>
        <w:keepNext w:val="0"/>
        <w:keepLines w:val="0"/>
        <w:widowControl w:val="0"/>
        <w:shd w:val="clear" w:color="auto" w:fill="auto"/>
        <w:spacing w:before="0" w:after="120" w:line="240" w:lineRule="auto"/>
        <w:ind w:left="0" w:right="0" w:firstLine="0"/>
        <w:jc w:val="left"/>
      </w:pPr>
      <w:r>
        <w:rPr>
          <w:rStyle w:val="CharStyle24"/>
        </w:rPr>
        <w:t>(</w:t>
      </w:r>
      <w:r>
        <w:rPr>
          <w:rStyle w:val="CharStyle24"/>
          <w:i/>
        </w:rPr>
        <w:t>Continued</w:t>
      </w:r>
      <w:r>
        <w:rPr>
          <w:rStyle w:val="CharStyle24"/>
        </w:rPr>
        <w:t>)</w:t>
      </w:r>
    </w:p>
    <w:tbl>
      <w:tblPr>
        <w:tblOverlap w:val="never"/>
        <w:jc w:val="center"/>
        <w:tblLayout w:type="fixed"/>
      </w:tblPr>
      <w:tblGrid>
        <w:gridCol w:w="547"/>
        <w:gridCol w:w="1723"/>
        <w:gridCol w:w="965"/>
        <w:gridCol w:w="1027"/>
        <w:gridCol w:w="1541"/>
        <w:gridCol w:w="998"/>
        <w:gridCol w:w="830"/>
        <w:gridCol w:w="2150"/>
        <w:gridCol w:w="682"/>
      </w:tblGrid>
      <w:tr>
        <w:trPr>
          <w:trHeight w:val="394" w:hRule="exact"/>
        </w:trPr>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Year</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0" w:right="0" w:firstLine="0"/>
              <w:jc w:val="left"/>
              <w:rPr>
                <w:sz w:val="12"/>
              </w:rPr>
            </w:pPr>
            <w:r>
              <w:rPr>
                <w:rStyle w:val="CharStyle13"/>
                <w:sz w:val="12"/>
              </w:rPr>
              <w:t xml:space="preserve">Bothnian Bay and North Quark</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 xml:space="preserve">Sea of</w:t>
            </w:r>
          </w:p>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Bothnia</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Central</w:t>
            </w:r>
          </w:p>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Sweden</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300" w:right="0" w:firstLine="0"/>
              <w:jc w:val="left"/>
              <w:rPr>
                <w:sz w:val="12"/>
              </w:rPr>
            </w:pPr>
            <w:r>
              <w:rPr>
                <w:rStyle w:val="CharStyle13"/>
                <w:sz w:val="12"/>
              </w:rPr>
              <w:t xml:space="preserve">SW Finnish archipelago</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 xml:space="preserve">Gulf of</w:t>
            </w:r>
          </w:p>
          <w:p>
            <w:pPr>
              <w:pStyle w:val="Style12"/>
              <w:keepNext w:val="0"/>
              <w:keepLines w:val="0"/>
              <w:widowControl w:val="0"/>
              <w:shd w:val="clear" w:color="auto" w:fill="auto"/>
              <w:spacing w:before="0" w:after="0" w:line="240" w:lineRule="auto"/>
              <w:ind w:left="0" w:right="0"/>
              <w:jc w:val="left"/>
              <w:rPr>
                <w:sz w:val="12"/>
              </w:rPr>
            </w:pPr>
            <w:r>
              <w:rPr>
                <w:rStyle w:val="CharStyle13"/>
                <w:sz w:val="12"/>
              </w:rPr>
              <w:t>Finland</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Estonia</w:t>
            </w:r>
          </w:p>
        </w:tc>
        <w:tc>
          <w:tcPr>
            <w:tcBorders>
              <w:top w:val="single" w:sz="4"/>
            </w:tcBorders>
            <w:shd w:val="clear" w:color="auto" w:fill="auto"/>
            <w:vAlign w:val="top"/>
          </w:tcPr>
          <w:p>
            <w:pPr>
              <w:pStyle w:val="Style12"/>
              <w:keepNext w:val="0"/>
              <w:keepLines w:val="0"/>
              <w:widowControl w:val="0"/>
              <w:shd w:val="clear" w:color="auto" w:fill="auto"/>
              <w:spacing w:before="0" w:after="0" w:line="300" w:lineRule="auto"/>
              <w:ind w:left="0" w:right="0" w:firstLine="0"/>
              <w:jc w:val="both"/>
              <w:rPr>
                <w:sz w:val="12"/>
              </w:rPr>
            </w:pPr>
            <w:r>
              <w:rPr>
                <w:rStyle w:val="CharStyle13"/>
                <w:sz w:val="12"/>
              </w:rPr>
              <w:t xml:space="preserve">Southern Baltic (Swe, Den, </w:t>
            </w:r>
            <w:r>
              <w:rPr>
                <w:rStyle w:val="CharStyle13"/>
                <w:rFonts w:ascii="Times New Roman" w:hAnsi="Times New Roman" w:cs="Times New Roman" w:eastAsia="Times New Roman"/>
                <w:sz w:val="12"/>
              </w:rPr>
              <w:t xml:space="preserve">Pol </w:t>
            </w:r>
            <w:r>
              <w:rPr>
                <w:rStyle w:val="CharStyle13"/>
                <w:sz w:val="12"/>
              </w:rPr>
              <w:t>-Ger)</w:t>
            </w:r>
          </w:p>
        </w:tc>
        <w:tc>
          <w:tcPr>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Total</w:t>
            </w:r>
          </w:p>
        </w:tc>
      </w:tr>
      <w:tr>
        <w:trPr>
          <w:trHeight w:val="221" w:hRule="exact"/>
        </w:trPr>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2020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2079</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1999</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10534</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14757</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2390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5150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3166</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40075</w:t>
            </w:r>
          </w:p>
        </w:tc>
      </w:tr>
      <w:tr>
        <w:trPr>
          <w:trHeight w:val="226" w:hRule="exact"/>
        </w:trPr>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2021</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0"/>
              <w:jc w:val="left"/>
              <w:rPr>
                <w:sz w:val="12"/>
              </w:rPr>
            </w:pPr>
            <w:r>
              <w:rPr>
                <w:rStyle w:val="CharStyle13"/>
                <w:sz w:val="12"/>
              </w:rPr>
              <w:t>1202</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40"/>
              <w:jc w:val="left"/>
              <w:rPr>
                <w:sz w:val="12"/>
              </w:rPr>
            </w:pPr>
            <w:r>
              <w:rPr>
                <w:rStyle w:val="CharStyle13"/>
                <w:sz w:val="12"/>
              </w:rPr>
              <w:t>2099</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80"/>
              <w:jc w:val="left"/>
              <w:rPr>
                <w:sz w:val="12"/>
              </w:rPr>
            </w:pPr>
            <w:r>
              <w:rPr>
                <w:rStyle w:val="CharStyle13"/>
                <w:sz w:val="12"/>
              </w:rPr>
              <w:t>10486</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15733</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jc w:val="left"/>
              <w:rPr>
                <w:sz w:val="12"/>
              </w:rPr>
            </w:pPr>
            <w:r>
              <w:rPr>
                <w:rStyle w:val="CharStyle13"/>
                <w:sz w:val="12"/>
              </w:rPr>
              <w:t>3068</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300"/>
              <w:jc w:val="left"/>
              <w:rPr>
                <w:sz w:val="12"/>
              </w:rPr>
            </w:pPr>
            <w:r>
              <w:rPr>
                <w:rStyle w:val="CharStyle13"/>
                <w:sz w:val="12"/>
              </w:rPr>
              <w:t>5479</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0"/>
              <w:jc w:val="both"/>
              <w:rPr>
                <w:sz w:val="12"/>
              </w:rPr>
            </w:pPr>
            <w:r>
              <w:rPr>
                <w:rStyle w:val="CharStyle13"/>
                <w:sz w:val="12"/>
              </w:rPr>
              <w:t>3869</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60"/>
              <w:jc w:val="left"/>
              <w:rPr>
                <w:sz w:val="12"/>
              </w:rPr>
            </w:pPr>
            <w:r>
              <w:rPr>
                <w:rStyle w:val="CharStyle13"/>
                <w:sz w:val="12"/>
              </w:rPr>
              <w:t>41936</w:t>
            </w:r>
          </w:p>
        </w:tc>
      </w:tr>
    </w:tbl>
    <w:p>
      <w:pPr>
        <w:widowControl w:val="0"/>
        <w:spacing w:after="219" w:line="1" w:lineRule="exact"/>
      </w:pPr>
    </w:p>
    <w:p>
      <w:pPr>
        <w:pStyle w:val="Style6"/>
        <w:keepNext w:val="0"/>
        <w:keepLines w:val="0"/>
        <w:widowControl w:val="0"/>
        <w:shd w:val="clear" w:color="auto" w:fill="auto"/>
        <w:spacing w:before="0" w:after="420" w:line="295" w:lineRule="auto"/>
        <w:ind w:left="0" w:right="0"/>
        <w:jc w:val="left"/>
      </w:pPr>
      <w:r>
        <w:rPr>
          <w:rStyle w:val="CharStyle7"/>
          <w:b/>
        </w:rPr>
        <w:t xml:space="preserve">Annex 2. </w:t>
      </w:r>
      <w:r>
        <w:rPr>
          <w:rStyle w:val="CharStyle7"/>
        </w:rPr>
        <w:t xml:space="preserve">Hunting quotas (in numbers) and the reported number of grey seals hunted in the Baltic Sea countries in</w:t>
      </w:r>
      <w:r>
        <w:rPr>
          <w:rStyle w:val="CharStyle7"/>
          <w:sz w:val="14"/>
        </w:rPr>
        <w:t>1998-2021</w:t>
      </w:r>
      <w:r>
        <w:rPr>
          <w:rStyle w:val="CharStyle7"/>
        </w:rPr>
        <w:t xml:space="preserve">. It is noteworthy that the grey seal hunting season over two years. In this table, the latter year of the hunting season has been used to describe the annual catch. Data collected from official country statistics.</w:t>
      </w:r>
    </w:p>
    <w:tbl>
      <w:tblPr>
        <w:tblOverlap w:val="never"/>
        <w:jc w:val="center"/>
        <w:tblLayout w:type="fixed"/>
      </w:tblPr>
      <w:tblGrid>
        <w:gridCol w:w="653"/>
        <w:gridCol w:w="811"/>
        <w:gridCol w:w="1147"/>
        <w:gridCol w:w="792"/>
        <w:gridCol w:w="1142"/>
        <w:gridCol w:w="840"/>
        <w:gridCol w:w="1123"/>
        <w:gridCol w:w="816"/>
        <w:gridCol w:w="1114"/>
        <w:gridCol w:w="2026"/>
      </w:tblGrid>
      <w:tr>
        <w:trPr>
          <w:trHeight w:val="283" w:hRule="exact"/>
        </w:trPr>
        <w:tc>
          <w:tcPr>
            <w:vMerge w:val="restart"/>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Year</w:t>
            </w:r>
          </w:p>
        </w:tc>
        <w:tc>
          <w:tcPr>
            <w:gridSpan w:val="2"/>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Finland (mainland)</w:t>
            </w:r>
          </w:p>
        </w:tc>
        <w:tc>
          <w:tcPr>
            <w:gridSpan w:val="2"/>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Åland Islands</w:t>
            </w:r>
          </w:p>
        </w:tc>
        <w:tc>
          <w:tcPr>
            <w:gridSpan w:val="2"/>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Sweden</w:t>
            </w:r>
          </w:p>
        </w:tc>
        <w:tc>
          <w:tcPr>
            <w:gridSpan w:val="2"/>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Estonia</w:t>
            </w:r>
          </w:p>
        </w:tc>
        <w:tc>
          <w:tcPr>
            <w:vMerge w:val="restart"/>
            <w:tcBorders>
              <w:top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 xml:space="preserve">Total number of seals hunted</w:t>
            </w:r>
          </w:p>
        </w:tc>
      </w:tr>
      <w:tr>
        <w:trPr>
          <w:trHeight w:val="264" w:hRule="exact"/>
        </w:trPr>
        <w:tc>
          <w:tcPr>
            <w:vMerge/>
            <w:tcBorders/>
            <w:shd w:val="clear" w:color="auto" w:fill="auto"/>
            <w:vAlign w:val="top"/>
          </w:tcP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b/>
                <w:sz w:val="12"/>
              </w:rPr>
              <w:t>Quota</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 xml:space="preserve">Hunted seals</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b/>
                <w:sz w:val="12"/>
              </w:rPr>
              <w:t>Quota</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Hunted seals</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b/>
                <w:sz w:val="12"/>
              </w:rPr>
              <w:t>Quota</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 xml:space="preserve">Hunted seals</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200"/>
              <w:jc w:val="left"/>
              <w:rPr>
                <w:sz w:val="12"/>
              </w:rPr>
            </w:pPr>
            <w:r>
              <w:rPr>
                <w:rStyle w:val="CharStyle13"/>
                <w:b/>
                <w:sz w:val="12"/>
              </w:rPr>
              <w:t>Quota</w:t>
            </w:r>
          </w:p>
        </w:tc>
        <w:tc>
          <w:tcPr>
            <w:tcBorders>
              <w:top w:val="single" w:sz="4"/>
            </w:tcBorders>
            <w:shd w:val="clear" w:color="auto" w:fill="auto"/>
            <w:vAlign w:val="center"/>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 xml:space="preserve">Hunted seals</w:t>
            </w:r>
          </w:p>
        </w:tc>
        <w:tc>
          <w:tcPr>
            <w:vMerge/>
            <w:tcBorders/>
            <w:shd w:val="clear" w:color="auto" w:fill="auto"/>
            <w:vAlign w:val="top"/>
          </w:tcPr>
          <w:p/>
        </w:tc>
      </w:tr>
      <w:tr>
        <w:trPr>
          <w:trHeight w:val="216" w:hRule="exact"/>
        </w:trPr>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1998</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16</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top w:val="single" w:sz="4"/>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16</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1999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60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60</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84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60</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2001</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180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90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89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180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54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198</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156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95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79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304</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395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233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171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82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79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394</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490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291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81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522</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2005</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635</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312</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234</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118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170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83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513</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675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157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390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107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367</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685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218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183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96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497</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685</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360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228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220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130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718</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2009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470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146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129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745</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145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103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598</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165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90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74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329</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177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94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386</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134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103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341</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184</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290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409</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157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123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430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283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573</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185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73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480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202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10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470</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232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72</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560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263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576</w:t>
            </w:r>
          </w:p>
        </w:tc>
      </w:tr>
      <w:tr>
        <w:trPr>
          <w:trHeight w:val="173" w:hRule="exact"/>
        </w:trPr>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213</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128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740</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499</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37</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18</w:t>
            </w:r>
          </w:p>
        </w:tc>
        <w:tc>
          <w:tcPr>
            <w:tcBorders/>
            <w:shd w:val="clear" w:color="auto" w:fill="auto"/>
            <w:vAlign w:val="bottom"/>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858</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2019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316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450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343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1100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1060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20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1739</w:t>
            </w:r>
          </w:p>
        </w:tc>
      </w:tr>
      <w:tr>
        <w:trPr>
          <w:trHeight w:val="173"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2020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266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215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2000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1028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19</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1528</w:t>
            </w:r>
          </w:p>
        </w:tc>
      </w:tr>
      <w:tr>
        <w:trPr>
          <w:trHeight w:val="168" w:hRule="exact"/>
        </w:trPr>
        <w:tc>
          <w:tcPr>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2021</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1050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413</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207</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2000</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928</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55</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26</w:t>
            </w:r>
          </w:p>
        </w:tc>
        <w:tc>
          <w:tcPr>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1574</w:t>
            </w:r>
          </w:p>
        </w:tc>
      </w:tr>
      <w:tr>
        <w:trPr>
          <w:trHeight w:val="226" w:hRule="exact"/>
        </w:trPr>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40"/>
              <w:jc w:val="left"/>
              <w:rPr>
                <w:sz w:val="12"/>
              </w:rPr>
            </w:pPr>
            <w:r>
              <w:rPr>
                <w:rStyle w:val="CharStyle13"/>
                <w:sz w:val="12"/>
              </w:rPr>
              <w:t>Total</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17 855</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5159</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8 206</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2919</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 xml:space="preserve">10 210</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80"/>
              <w:jc w:val="both"/>
              <w:rPr>
                <w:sz w:val="12"/>
              </w:rPr>
            </w:pPr>
            <w:r>
              <w:rPr>
                <w:rStyle w:val="CharStyle13"/>
                <w:sz w:val="12"/>
              </w:rPr>
              <w:t>5585</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00"/>
              <w:jc w:val="left"/>
              <w:rPr>
                <w:sz w:val="12"/>
              </w:rPr>
            </w:pPr>
            <w:r>
              <w:rPr>
                <w:rStyle w:val="CharStyle13"/>
                <w:sz w:val="12"/>
              </w:rPr>
              <w:t>340</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180"/>
              <w:jc w:val="left"/>
              <w:rPr>
                <w:sz w:val="12"/>
              </w:rPr>
            </w:pPr>
            <w:r>
              <w:rPr>
                <w:rStyle w:val="CharStyle13"/>
                <w:sz w:val="12"/>
              </w:rPr>
              <w:t>112</w:t>
            </w:r>
          </w:p>
        </w:tc>
        <w:tc>
          <w:tcPr>
            <w:tcBorders>
              <w:bottom w:val="single" w:sz="4"/>
            </w:tcBorders>
            <w:shd w:val="clear" w:color="auto" w:fill="auto"/>
            <w:vAlign w:val="top"/>
          </w:tcPr>
          <w:p>
            <w:pPr>
              <w:pStyle w:val="Style12"/>
              <w:keepNext w:val="0"/>
              <w:keepLines w:val="0"/>
              <w:widowControl w:val="0"/>
              <w:shd w:val="clear" w:color="auto" w:fill="auto"/>
              <w:spacing w:before="0" w:after="0" w:line="240" w:lineRule="auto"/>
              <w:ind w:left="0" w:right="0" w:firstLine="220"/>
              <w:jc w:val="left"/>
              <w:rPr>
                <w:sz w:val="12"/>
              </w:rPr>
            </w:pPr>
            <w:r>
              <w:rPr>
                <w:rStyle w:val="CharStyle13"/>
                <w:sz w:val="12"/>
              </w:rPr>
              <w:t xml:space="preserve">13 775</w:t>
            </w:r>
          </w:p>
        </w:tc>
      </w:tr>
    </w:tbl>
    <w:p>
      <w:pPr>
        <w:sectPr>
          <w:footnotePr>
            <w:pos w:val="pageBottom"/>
            <w:numFmt w:val="decimal"/>
            <w:numRestart w:val="continuous"/>
          </w:footnotePr>
          <w:type w:val="continuous"/>
          <w:pgSz w:w="12240" w:h="15840"/>
          <w:pgMar w:top="966" w:right="886" w:bottom="978" w:left="884" w:header="0" w:footer="3" w:gutter="0"/>
          <w:cols w:space="720"/>
          <w:noEndnote/>
          <w:rtlGutter w:val="0"/>
          <w:docGrid w:linePitch="360"/>
        </w:sectPr>
      </w:pPr>
    </w:p>
    <w:p>
      <w:pPr>
        <w:widowControl w:val="0"/>
        <w:spacing w:line="240" w:lineRule="exact"/>
        <w:rPr>
          <w:sz w:val="19"/>
        </w:rPr>
      </w:pPr>
    </w:p>
    <w:p>
      <w:pPr>
        <w:widowControl w:val="0"/>
        <w:spacing w:before="58" w:after="58" w:line="240" w:lineRule="exact"/>
        <w:rPr>
          <w:sz w:val="19"/>
        </w:rPr>
      </w:pPr>
    </w:p>
    <w:p>
      <w:pPr>
        <w:widowControl w:val="0"/>
        <w:spacing w:line="1" w:lineRule="exact"/>
        <w:sectPr>
          <w:footnotePr>
            <w:pos w:val="pageBottom"/>
            <w:numFmt w:val="decimal"/>
            <w:numRestart w:val="continuous"/>
          </w:footnotePr>
          <w:type w:val="continuous"/>
          <w:pgSz w:w="12240" w:h="15840"/>
          <w:pgMar w:top="966" w:right="0" w:bottom="1156" w:left="0" w:header="0" w:footer="3" w:gutter="0"/>
          <w:cols w:space="720"/>
          <w:noEndnote/>
          <w:rtlGutter w:val="0"/>
          <w:docGrid w:linePitch="360"/>
        </w:sectPr>
      </w:pPr>
    </w:p>
    <w:p>
      <w:pPr>
        <w:pStyle w:val="Style46"/>
        <w:keepNext/>
        <w:keepLines/>
        <w:widowControl w:val="0"/>
        <w:shd w:val="clear" w:color="auto" w:fill="auto"/>
        <w:spacing w:before="0" w:line="240" w:lineRule="auto"/>
        <w:ind w:left="0" w:right="0" w:firstLine="0"/>
        <w:jc w:val="left"/>
      </w:pPr>
      <w:bookmarkStart w:id="63" w:name="bookmark63"/>
      <w:r>
        <w:rPr>
          <w:rStyle w:val="CharStyle47"/>
          <w:b/>
        </w:rPr>
        <w:t>References</w:t>
      </w:r>
      <w:bookmarkEnd w:id="63"/>
    </w:p>
    <w:p>
      <w:pPr>
        <w:pStyle w:val="Style2"/>
        <w:keepNext w:val="0"/>
        <w:keepLines w:val="0"/>
        <w:widowControl w:val="0"/>
        <w:numPr>
          <w:ilvl w:val="0"/>
          <w:numId w:val="9"/>
        </w:numPr>
        <w:shd w:val="clear" w:color="auto" w:fill="auto"/>
        <w:tabs>
          <w:tab w:pos="289" w:val="left"/>
        </w:tabs>
        <w:spacing w:before="0" w:after="0"/>
        <w:ind w:right="0"/>
        <w:jc w:val="left"/>
      </w:pPr>
      <w:bookmarkStart w:id="65" w:name="bookmark65"/>
      <w:r>
        <w:rPr>
          <w:rStyle w:val="CharStyle3"/>
        </w:rPr>
        <w:t xml:space="preserve">Anon. 2007. Management Plan for the Finnish Seal Populations in the Baltic Sea. Ministry of Agriculture and Forestry 4b/2007, Helsinki. 95 PP. </w:t>
      </w:r>
      <w:r>
        <w:rPr>
          <w:rStyle w:val="CharStyle3"/>
          <w:sz w:val="11"/>
        </w:rPr>
        <w:t>ISBN</w:t>
      </w:r>
      <w:r>
        <w:rPr>
          <w:rStyle w:val="CharStyle3"/>
          <w:sz w:val="11"/>
        </w:rPr>
        <w:softHyphen/>
        <w:t xml:space="preserve">978-952 453-348-5</w:t>
      </w:r>
      <w:r>
        <w:rPr>
          <w:rStyle w:val="CharStyle3"/>
        </w:rPr>
        <w:t>,</w:t>
      </w:r>
      <w:r>
        <w:rPr>
          <w:rStyle w:val="CharStyle3"/>
          <w:sz w:val="11"/>
        </w:rPr>
        <w:t>ISSN</w:t>
      </w:r>
      <w:r>
        <w:rPr>
          <w:rStyle w:val="CharStyle3"/>
        </w:rPr>
        <w:t>1238-2531.</w:t>
      </w:r>
      <w:bookmarkEnd w:id="65"/>
    </w:p>
    <w:p>
      <w:pPr>
        <w:pStyle w:val="Style2"/>
        <w:keepNext w:val="0"/>
        <w:keepLines w:val="0"/>
        <w:widowControl w:val="0"/>
        <w:numPr>
          <w:ilvl w:val="0"/>
          <w:numId w:val="9"/>
        </w:numPr>
        <w:shd w:val="clear" w:color="auto" w:fill="auto"/>
        <w:tabs>
          <w:tab w:pos="289" w:val="left"/>
        </w:tabs>
        <w:spacing w:before="0" w:after="0"/>
        <w:ind w:right="0"/>
        <w:jc w:val="left"/>
      </w:pPr>
      <w:bookmarkStart w:id="66" w:name="bookmark66"/>
      <w:r>
        <w:rPr>
          <w:rStyle w:val="CharStyle3"/>
        </w:rPr>
        <w:t xml:space="preserve">Anon. 2019. The Swedish</w:t>
      </w:r>
      <w:r>
        <w:rPr>
          <w:rStyle w:val="CharStyle3"/>
          <w:sz w:val="11"/>
        </w:rPr>
        <w:t xml:space="preserve"> Agency</w:t>
      </w:r>
      <w:r>
        <w:rPr>
          <w:rStyle w:val="CharStyle3"/>
          <w:sz w:val="11"/>
        </w:rPr>
        <w:t xml:space="preserve"> for</w:t>
      </w:r>
      <w:r>
        <w:rPr>
          <w:rStyle w:val="CharStyle3"/>
        </w:rPr>
        <w:t>Marine</w:t>
      </w:r>
      <w:r>
        <w:rPr>
          <w:rStyle w:val="CharStyle3"/>
          <w:sz w:val="11"/>
        </w:rPr>
        <w:t xml:space="preserve"> and</w:t>
      </w:r>
      <w:r>
        <w:rPr>
          <w:rStyle w:val="CharStyle3"/>
        </w:rPr>
        <w:t xml:space="preserve">Water Management (Swedish</w:t>
      </w:r>
      <w:r>
        <w:rPr>
          <w:rStyle w:val="CharStyle3"/>
          <w:sz w:val="11"/>
        </w:rPr>
        <w:t xml:space="preserve"> Agency</w:t>
      </w:r>
      <w:r>
        <w:rPr>
          <w:rStyle w:val="CharStyle3"/>
        </w:rPr>
        <w:t xml:space="preserve">for Marine and Water Management) report 2019: 24. 83 PP. (In Swedish).</w:t>
      </w:r>
      <w:bookmarkEnd w:id="66"/>
    </w:p>
    <w:p>
      <w:pPr>
        <w:pStyle w:val="Style2"/>
        <w:keepNext w:val="0"/>
        <w:keepLines w:val="0"/>
        <w:widowControl w:val="0"/>
        <w:numPr>
          <w:ilvl w:val="0"/>
          <w:numId w:val="9"/>
        </w:numPr>
        <w:shd w:val="clear" w:color="auto" w:fill="auto"/>
        <w:tabs>
          <w:tab w:pos="289" w:val="left"/>
        </w:tabs>
        <w:spacing w:before="0" w:after="0"/>
        <w:ind w:right="0"/>
        <w:jc w:val="left"/>
      </w:pPr>
      <w:bookmarkStart w:id="67" w:name="bookmark67"/>
      <w:r>
        <w:rPr>
          <w:rStyle w:val="CharStyle3"/>
        </w:rPr>
        <w:t xml:space="preserve">Anon. 2022. Yearly info-releases by the Natural Resources Institute Finland. </w:t>
      </w:r>
      <w:r>
        <w:fldChar w:fldCharType="begin"/>
      </w:r>
      <w:r>
        <w:rPr/>
        <w:instrText> HYPERLINK "https://www.luke.fi/fi/seurannat/merihyljelaskennat-ja-hyljekannan-rakenteen-seuranta/harmaahyljekanta-2022" </w:instrText>
      </w:r>
      <w:r>
        <w:fldChar w:fldCharType="separate"/>
      </w:r>
      <w:r>
        <w:rPr>
          <w:rStyle w:val="CharStyle3"/>
        </w:rPr>
        <w:t xml:space="preserve">https://www.luke.fi/fi/seurannat/merihyljelaskennat-ja-hyljekannan-rakenteen- seuranta/harmaahyljekanta-2022</w:t>
      </w:r>
      <w:r>
        <w:fldChar w:fldCharType="end"/>
      </w:r>
      <w:r>
        <w:rPr>
          <w:rStyle w:val="CharStyle3"/>
        </w:rPr>
        <w:t>.</w:t>
      </w:r>
      <w:bookmarkEnd w:id="67"/>
    </w:p>
    <w:p>
      <w:pPr>
        <w:pStyle w:val="Style2"/>
        <w:keepNext w:val="0"/>
        <w:keepLines w:val="0"/>
        <w:widowControl w:val="0"/>
        <w:numPr>
          <w:ilvl w:val="0"/>
          <w:numId w:val="9"/>
        </w:numPr>
        <w:shd w:val="clear" w:color="auto" w:fill="auto"/>
        <w:tabs>
          <w:tab w:pos="289" w:val="left"/>
        </w:tabs>
        <w:spacing w:before="0" w:after="0"/>
        <w:ind w:right="0"/>
        <w:jc w:val="left"/>
      </w:pPr>
      <w:r>
        <w:rPr>
          <w:rStyle w:val="CharStyle3"/>
        </w:rPr>
        <w:t xml:space="preserve">M. Arias-Schreiber, M.B. Gillette, ther fish or fowl: navigating motivations for fisheries participation and exit in Sweden, Soc. NAT. Travel. 34 (2021)</w:t>
      </w:r>
      <w:r>
        <w:rPr>
          <w:rStyle w:val="CharStyle3"/>
          <w:sz w:val="11"/>
        </w:rPr>
        <w:t>1019-1037</w:t>
      </w:r>
      <w:r>
        <w:rPr>
          <w:rStyle w:val="CharStyle3"/>
        </w:rPr>
        <w:t xml:space="preserve">, </w:t>
      </w:r>
      <w:r>
        <w:fldChar w:fldCharType="begin"/>
      </w:r>
      <w:r>
        <w:rPr/>
        <w:instrText> HYPERLINK "https://doi.org/10.1080/08941920.2021.1925381" </w:instrText>
      </w:r>
      <w:r>
        <w:fldChar w:fldCharType="separate"/>
      </w:r>
      <w:r>
        <w:rPr>
          <w:rStyle w:val="CharStyle3"/>
          <w:color w:val="2196D1"/>
        </w:rPr>
        <w:t>https://doi.org/10.1080/08941920.2021.1925381</w:t>
      </w:r>
      <w:r>
        <w:fldChar w:fldCharType="end"/>
      </w:r>
      <w:r>
        <w:rPr>
          <w:rStyle w:val="CharStyle3"/>
        </w:rPr>
        <w:t>.</w:t>
      </w:r>
    </w:p>
    <w:p>
      <w:pPr>
        <w:pStyle w:val="Style2"/>
        <w:keepNext w:val="0"/>
        <w:keepLines w:val="0"/>
        <w:widowControl w:val="0"/>
        <w:numPr>
          <w:ilvl w:val="0"/>
          <w:numId w:val="9"/>
        </w:numPr>
        <w:shd w:val="clear" w:color="auto" w:fill="auto"/>
        <w:tabs>
          <w:tab w:pos="289" w:val="left"/>
        </w:tabs>
        <w:spacing w:before="0" w:after="0"/>
        <w:ind w:right="0"/>
        <w:jc w:val="left"/>
      </w:pPr>
      <w:r>
        <w:fldChar w:fldCharType="begin"/>
      </w:r>
      <w:r>
        <w:rPr/>
        <w:instrText> HYPERLINK "http://refhub.elsevier.com/S0308-597X(23)00211-7/sbref2" </w:instrText>
      </w:r>
      <w:r>
        <w:fldChar w:fldCharType="separate"/>
      </w:r>
      <w:r>
        <w:rPr>
          <w:rStyle w:val="CharStyle3"/>
          <w:color w:val="2196D1"/>
        </w:rPr>
        <w:t xml:space="preserve">R.R. Baker, The Evolutionary Ecology of Animal Migration, </w:t>
      </w:r>
      <w:r>
        <w:rPr>
          <w:rStyle w:val="CharStyle3"/>
          <w:color w:val="2196D1"/>
        </w:rPr>
        <w:t>Hodder</w:t>
      </w:r>
      <w:r>
        <w:rPr>
          <w:rStyle w:val="CharStyle3"/>
          <w:rFonts w:ascii="Times New Roman" w:eastAsia="Times New Roman" w:hAnsi="Times New Roman" w:cs="Times New Roman"/>
          <w:color w:val="2196D1"/>
        </w:rPr>
        <w:t xml:space="preserve">, Stoughton,</w:t>
      </w:r>
      <w:r>
        <w:fldChar w:fldCharType="end"/>
      </w:r>
      <w:r>
        <w:rPr>
          <w:rStyle w:val="CharStyle3"/>
          <w:color w:val="2196D1"/>
        </w:rPr>
        <w:t xml:space="preserve"> </w:t>
      </w:r>
      <w:r>
        <w:fldChar w:fldCharType="begin"/>
      </w:r>
      <w:r>
        <w:rPr/>
        <w:instrText> HYPERLINK "http://refhub.elsevier.com/S0308-597X(23)00211-7/sbref2" </w:instrText>
      </w:r>
      <w:r>
        <w:fldChar w:fldCharType="separate"/>
      </w:r>
      <w:r>
        <w:rPr>
          <w:rStyle w:val="CharStyle3"/>
          <w:color w:val="2196D1"/>
        </w:rPr>
        <w:t xml:space="preserve">London, 1978</w:t>
      </w:r>
      <w:r>
        <w:fldChar w:fldCharType="end"/>
      </w:r>
      <w:r>
        <w:rPr>
          <w:rStyle w:val="CharStyle3"/>
        </w:rPr>
        <w:t>.</w:t>
      </w:r>
    </w:p>
    <w:p>
      <w:pPr>
        <w:pStyle w:val="Style2"/>
        <w:keepNext w:val="0"/>
        <w:keepLines w:val="0"/>
        <w:widowControl w:val="0"/>
        <w:numPr>
          <w:ilvl w:val="0"/>
          <w:numId w:val="9"/>
        </w:numPr>
        <w:shd w:val="clear" w:color="auto" w:fill="auto"/>
        <w:tabs>
          <w:tab w:pos="289" w:val="left"/>
        </w:tabs>
        <w:spacing w:before="0" w:after="0"/>
        <w:ind w:right="0"/>
        <w:jc w:val="left"/>
      </w:pPr>
      <w:bookmarkStart w:id="68" w:name="bookmark68"/>
      <w:r>
        <w:rPr>
          <w:rStyle w:val="CharStyle3"/>
        </w:rPr>
        <w:t xml:space="preserve">E.B. Barbier, The concept of sustainable economic development, Environ. Conserv 14 (1987) 101, </w:t>
      </w:r>
      <w:r>
        <w:fldChar w:fldCharType="begin"/>
      </w:r>
      <w:r>
        <w:rPr/>
        <w:instrText> HYPERLINK "https://doi.org/10.1017/S0376892900011449" </w:instrText>
      </w:r>
      <w:r>
        <w:fldChar w:fldCharType="separate"/>
      </w:r>
      <w:r>
        <w:rPr>
          <w:rStyle w:val="CharStyle3"/>
          <w:color w:val="2196D1"/>
        </w:rPr>
        <w:t>https://doi.org/10.1017/S0376892900011449</w:t>
      </w:r>
      <w:r>
        <w:fldChar w:fldCharType="end"/>
      </w:r>
      <w:r>
        <w:rPr>
          <w:rStyle w:val="CharStyle3"/>
        </w:rPr>
        <w:t>.</w:t>
      </w:r>
      <w:bookmarkEnd w:id="68"/>
    </w:p>
    <w:p>
      <w:pPr>
        <w:pStyle w:val="Style2"/>
        <w:keepNext w:val="0"/>
        <w:keepLines w:val="0"/>
        <w:widowControl w:val="0"/>
        <w:numPr>
          <w:ilvl w:val="0"/>
          <w:numId w:val="9"/>
        </w:numPr>
        <w:shd w:val="clear" w:color="auto" w:fill="auto"/>
        <w:tabs>
          <w:tab w:pos="289" w:val="left"/>
        </w:tabs>
        <w:spacing w:before="0" w:after="0"/>
        <w:ind w:right="0"/>
        <w:jc w:val="left"/>
      </w:pPr>
      <w:bookmarkStart w:id="69" w:name="bookmark69"/>
      <w:r>
        <w:rPr>
          <w:rStyle w:val="CharStyle3"/>
        </w:rPr>
        <w:t xml:space="preserve">R.J. Bijlsma, E. Agrillo, F. Attorre, L. Boitani, A. Brunner, P. Evans, R. Foppen, S. Gubbay, J.A.M. Janssen, A. van Kleunen, W. Langhout, R. Noordhuis, M. Pacifici, I. Ramírez, C. Rondinini, M. van Roomen, H. Siepel, H.V. Winter, Defining and applying the concept of favourable reference values for species and habitats under the EU birds and habitats directives, Tech. Rep. 92 (2018).</w:t>
      </w:r>
      <w:r>
        <w:fldChar w:fldCharType="begin"/>
      </w:r>
      <w:r>
        <w:rPr/>
        <w:instrText> HYPERLINK "https://ec.europa.eu/environment/nature/natura2000/platform/documents/TechnicalReportFRVs%20October2018.pdf" </w:instrText>
      </w:r>
      <w:r>
        <w:fldChar w:fldCharType="separate"/>
      </w:r>
      <w:r>
        <w:rPr>
          <w:rStyle w:val="CharStyle3"/>
        </w:rPr>
        <w:t xml:space="preserve"> </w:t>
      </w:r>
      <w:r>
        <w:rPr>
          <w:rStyle w:val="CharStyle3"/>
          <w:color w:val="2196D1"/>
          <w:sz w:val="11"/>
        </w:rPr>
      </w:r>
      <w:r>
        <w:rPr>
          <w:rStyle w:val="CharStyle3"/>
          <w:color w:val="2196D1"/>
        </w:rPr>
        <w:t>Https://ec.europa.eu/</w:t>
      </w:r>
      <w:r>
        <w:fldChar w:fldCharType="end"/>
      </w:r>
      <w:r>
        <w:rPr>
          <w:rStyle w:val="CharStyle3"/>
          <w:color w:val="2196D1"/>
        </w:rPr>
        <w:t xml:space="preserve"> </w:t>
      </w:r>
      <w:r>
        <w:fldChar w:fldCharType="begin"/>
      </w:r>
      <w:r>
        <w:rPr/>
        <w:instrText> HYPERLINK "https://ec.europa.eu/environment/nature/natura2000/platform/documents/TechnicalReportFRVs%20October2018.pdf" </w:instrText>
      </w:r>
      <w:r>
        <w:fldChar w:fldCharType="separate"/>
      </w:r>
      <w:r>
        <w:rPr>
          <w:rStyle w:val="CharStyle3"/>
          <w:color w:val="2196D1"/>
        </w:rPr>
        <w:t>environment/nature/natura2000/platform/documents/TechnicalReportFRVs</w:t>
      </w:r>
      <w:r>
        <w:fldChar w:fldCharType="end"/>
      </w:r>
      <w:r>
        <w:rPr>
          <w:rStyle w:val="CharStyle3"/>
          <w:color w:val="2196D1"/>
        </w:rPr>
        <w:t xml:space="preserve"> </w:t>
      </w:r>
      <w:r>
        <w:fldChar w:fldCharType="begin"/>
      </w:r>
      <w:r>
        <w:rPr/>
        <w:instrText> HYPERLINK "https://ec.europa.eu/environment/nature/natura2000/platform/documents/TechnicalReportFRVs%20October2018.pdf" </w:instrText>
      </w:r>
      <w:r>
        <w:fldChar w:fldCharType="separate"/>
      </w:r>
      <w:r>
        <w:rPr>
          <w:rStyle w:val="CharStyle3"/>
          <w:color w:val="2196D1"/>
        </w:rPr>
        <w:t>%</w:t>
      </w:r>
      <w:r>
        <w:rPr>
          <w:rStyle w:val="CharStyle3"/>
          <w:color w:val="2196D1"/>
          <w:sz w:val="11"/>
        </w:rPr>
        <w:t>20October2018.pdf</w:t>
      </w:r>
      <w:r>
        <w:fldChar w:fldCharType="end"/>
      </w:r>
      <w:r>
        <w:rPr>
          <w:rStyle w:val="CharStyle3"/>
        </w:rPr>
        <w:t>.</w:t>
      </w:r>
      <w:bookmarkEnd w:id="69"/>
    </w:p>
    <w:p>
      <w:pPr>
        <w:pStyle w:val="Style2"/>
        <w:keepNext w:val="0"/>
        <w:keepLines w:val="0"/>
        <w:widowControl w:val="0"/>
        <w:numPr>
          <w:ilvl w:val="0"/>
          <w:numId w:val="9"/>
        </w:numPr>
        <w:shd w:val="clear" w:color="auto" w:fill="auto"/>
        <w:tabs>
          <w:tab w:pos="289" w:val="left"/>
        </w:tabs>
        <w:spacing w:before="0" w:after="0"/>
        <w:ind w:right="0"/>
        <w:jc w:val="left"/>
      </w:pPr>
      <w:bookmarkStart w:id="70" w:name="bookmark70"/>
      <w:r>
        <w:rPr>
          <w:rStyle w:val="CharStyle3"/>
        </w:rPr>
        <w:t xml:space="preserve">J. Blomquist, S. Waldo, Seal interactions and exits from fisheries: insights from the Baltic Sea cod fishery, ICES J. Mar. SCI. 78 (2021)</w:t>
      </w:r>
      <w:r>
        <w:rPr>
          <w:rStyle w:val="CharStyle3"/>
          <w:sz w:val="11"/>
        </w:rPr>
        <w:t>2958-2966</w:t>
      </w:r>
      <w:r>
        <w:rPr>
          <w:rStyle w:val="CharStyle3"/>
        </w:rPr>
        <w:t xml:space="preserve">, https://doi.org/ </w:t>
      </w:r>
      <w:r>
        <w:fldChar w:fldCharType="begin"/>
      </w:r>
      <w:r>
        <w:rPr/>
        <w:instrText> HYPERLINK "https://doi.org/10.1093/icesjms/fsab173" </w:instrText>
      </w:r>
      <w:r>
        <w:fldChar w:fldCharType="separate"/>
      </w:r>
      <w:r>
        <w:rPr>
          <w:rStyle w:val="CharStyle3"/>
          <w:color w:val="2196D1"/>
        </w:rPr>
      </w:r>
      <w:r>
        <w:fldChar w:fldCharType="end"/>
      </w:r>
      <w:r>
        <w:rPr>
          <w:rStyle w:val="CharStyle3"/>
          <w:color w:val="2196D1"/>
        </w:rPr>
        <w:t xml:space="preserve"> </w:t>
      </w:r>
      <w:r>
        <w:fldChar w:fldCharType="begin"/>
      </w:r>
      <w:r>
        <w:rPr/>
        <w:instrText> HYPERLINK "https://doi.org/10.1093/icesjms/fsab173" </w:instrText>
      </w:r>
      <w:r>
        <w:fldChar w:fldCharType="separate"/>
      </w:r>
      <w:r>
        <w:rPr>
          <w:rStyle w:val="CharStyle3"/>
          <w:color w:val="2196D1"/>
        </w:rPr>
        <w:t>10.1093/icesjms/fsab173</w:t>
      </w:r>
      <w:r>
        <w:fldChar w:fldCharType="end"/>
      </w:r>
      <w:r>
        <w:rPr>
          <w:rStyle w:val="CharStyle3"/>
        </w:rPr>
        <w:t>.</w:t>
      </w:r>
      <w:bookmarkEnd w:id="70"/>
    </w:p>
    <w:p>
      <w:pPr>
        <w:pStyle w:val="Style2"/>
        <w:keepNext w:val="0"/>
        <w:keepLines w:val="0"/>
        <w:widowControl w:val="0"/>
        <w:numPr>
          <w:ilvl w:val="0"/>
          <w:numId w:val="9"/>
        </w:numPr>
        <w:shd w:val="clear" w:color="auto" w:fill="auto"/>
        <w:tabs>
          <w:tab w:pos="289" w:val="left"/>
        </w:tabs>
        <w:spacing w:before="0" w:after="0"/>
        <w:ind w:right="0"/>
        <w:jc w:val="left"/>
      </w:pPr>
      <w:bookmarkStart w:id="71" w:name="bookmark71"/>
      <w:r>
        <w:rPr>
          <w:rStyle w:val="CharStyle3"/>
        </w:rPr>
        <w:t xml:space="preserve">J. Blomquist, F. Jensen, S. Waldo, O. Flaaten, M.K. Holma, Joint management of marine mammals and a fish species: the case of cod and grey seals in the Nordic- Baltic Sea countries, Nat. Travel. Model. (2022), E12341, </w:t>
      </w:r>
      <w:r>
        <w:fldChar w:fldCharType="begin"/>
      </w:r>
      <w:r>
        <w:rPr/>
        <w:instrText> HYPERLINK "https://doi.org/10.1111/nrm.12341" </w:instrText>
      </w:r>
      <w:r>
        <w:fldChar w:fldCharType="separate"/>
      </w:r>
      <w:r>
        <w:rPr>
          <w:rStyle w:val="CharStyle3"/>
          <w:color w:val="2196D1"/>
        </w:rPr>
        <w:t>https://doi.org/</w:t>
      </w:r>
      <w:r>
        <w:fldChar w:fldCharType="end"/>
      </w:r>
      <w:r>
        <w:rPr>
          <w:rStyle w:val="CharStyle3"/>
          <w:color w:val="2196D1"/>
        </w:rPr>
        <w:t xml:space="preserve"> </w:t>
      </w:r>
      <w:r>
        <w:fldChar w:fldCharType="begin"/>
      </w:r>
      <w:r>
        <w:rPr/>
        <w:instrText> HYPERLINK "https://doi.org/10.1111/nrm.12341" </w:instrText>
      </w:r>
      <w:r>
        <w:fldChar w:fldCharType="separate"/>
      </w:r>
      <w:r>
        <w:rPr>
          <w:rStyle w:val="CharStyle3"/>
          <w:color w:val="2196D1"/>
        </w:rPr>
        <w:t>10.1111/nrm.12341</w:t>
      </w:r>
      <w:r>
        <w:fldChar w:fldCharType="end"/>
      </w:r>
      <w:r>
        <w:rPr>
          <w:rStyle w:val="CharStyle3"/>
        </w:rPr>
        <w:t>.</w:t>
      </w:r>
      <w:bookmarkEnd w:id="71"/>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"http://refhub.elsevier.com/S0308-597X(23)00211-7/sbref7" </w:instrText>
      </w:r>
      <w:r>
        <w:fldChar w:fldCharType="separate"/>
      </w:r>
      <w:bookmarkStart w:id="72" w:name="bookmark72"/>
      <w:r>
        <w:rPr>
          <w:rStyle w:val="CharStyle3"/>
          <w:color w:val="2196D1"/>
        </w:rPr>
        <w:t xml:space="preserve">K. Bruckmeier, C.H. Larsen, Swedish coastal fisheries</w:t>
      </w:r>
      <w:r>
        <w:rPr>
          <w:rStyle w:val="CharStyle3"/>
          <w:color w:val="2196D1"/>
          <w:sz w:val="11"/>
        </w:rPr>
        <w:t>—</w:t>
      </w:r>
      <w:r>
        <w:rPr>
          <w:rStyle w:val="CharStyle3"/>
          <w:color w:val="2196D1"/>
        </w:rPr>
        <w:t xml:space="preserve">from conflict mitigation to</w:t>
      </w:r>
      <w:r>
        <w:fldChar w:fldCharType="end"/>
      </w:r>
      <w:r>
        <w:rPr>
          <w:rStyle w:val="CharStyle3"/>
          <w:color w:val="2196D1"/>
        </w:rPr>
        <w:t xml:space="preserve"> </w:t>
      </w:r>
      <w:r>
        <w:fldChar w:fldCharType="begin"/>
      </w:r>
      <w:r>
        <w:rPr/>
        <w:instrText> HYPERLINK "http://refhub.elsevier.com/S0308-597X(23)00211-7/sbref7" </w:instrText>
      </w:r>
      <w:r>
        <w:fldChar w:fldCharType="separate"/>
      </w:r>
      <w:r>
        <w:rPr>
          <w:rStyle w:val="CharStyle3"/>
          <w:color w:val="2196D1"/>
        </w:rPr>
        <w:t xml:space="preserve">participatory management, Mar. Policy 32 (2008)</w:t>
      </w:r>
      <w:r>
        <w:rPr>
          <w:rStyle w:val="CharStyle3"/>
          <w:color w:val="2196D1"/>
          <w:sz w:val="11"/>
        </w:rPr>
      </w:r>
      <w:r>
        <w:rPr>
          <w:rStyle w:val="CharStyle3"/>
          <w:color w:val="2196D1"/>
        </w:rPr>
        <w:t>201-211</w:t>
      </w:r>
      <w:r>
        <w:fldChar w:fldCharType="end"/>
      </w:r>
      <w:r>
        <w:rPr>
          <w:rStyle w:val="CharStyle3"/>
        </w:rPr>
        <w:t>.</w:t>
      </w:r>
      <w:bookmarkEnd w:id="72"/>
    </w:p>
    <w:p>
      <w:pPr>
        <w:pStyle w:val="Style2"/>
        <w:keepNext w:val="0"/>
        <w:keepLines w:val="0"/>
        <w:widowControl w:val="0"/>
        <w:numPr>
          <w:ilvl w:val="0"/>
          <w:numId w:val="9"/>
        </w:numPr>
        <w:shd w:val="clear" w:color="auto" w:fill="auto"/>
        <w:tabs>
          <w:tab w:pos="356" w:val="left"/>
        </w:tabs>
        <w:spacing w:before="0" w:after="0"/>
        <w:ind w:right="0"/>
        <w:jc w:val="left"/>
      </w:pPr>
      <w:bookmarkStart w:id="73" w:name="bookmark73"/>
      <w:r>
        <w:rPr>
          <w:rStyle w:val="CharStyle3"/>
        </w:rPr>
        <w:t xml:space="preserve">Chasco, I.C. Kaplan, A.C. Thomas, A. Acevedo-Guti '</w:t>
      </w:r>
      <w:r>
        <w:rPr>
          <w:rStyle w:val="CharStyle3"/>
          <w:sz w:val="11"/>
        </w:rPr>
        <w:t xml:space="preserve"> errez</w:t>
      </w:r>
      <w:r>
        <w:rPr>
          <w:rStyle w:val="CharStyle3"/>
        </w:rPr>
        <w:t xml:space="preserve">, D.P. Noren, et al., Competing trade-offs between increasing marine Mammal predation and fisheries harvest of Chinook salmon, Sci. Rep. 7 (2017) </w:t>
      </w:r>
      <w:r>
        <w:fldChar w:fldCharType="begin"/>
      </w:r>
      <w:r>
        <w:rPr/>
        <w:instrText> HYPERLINK "https://doi.org/10.1038/s41598-017-14984-8" </w:instrText>
      </w:r>
      <w:r>
        <w:fldChar w:fldCharType="separate"/>
      </w:r>
      <w:r>
        <w:rPr>
          <w:rStyle w:val="CharStyle3"/>
          <w:color w:val="2196D1"/>
        </w:rPr>
      </w:r>
      <w:r>
        <w:fldChar w:fldCharType="end"/>
      </w:r>
      <w:r>
        <w:rPr>
          <w:rStyle w:val="CharStyle3"/>
          <w:color w:val="2196D1"/>
        </w:rPr>
        <w:t xml:space="preserve"> </w:t>
      </w:r>
      <w:r>
        <w:fldChar w:fldCharType="begin"/>
      </w:r>
      <w:r>
        <w:rPr/>
        <w:instrText> HYPERLINK "https://doi.org/10.1038/s41598-017-14984-8" </w:instrText>
      </w:r>
      <w:r>
        <w:fldChar w:fldCharType="separate"/>
      </w:r>
      <w:r>
        <w:rPr>
          <w:rStyle w:val="CharStyle3"/>
          <w:color w:val="2196D1"/>
        </w:rPr>
        <w:t xml:space="preserve">15439, https://doi.org/10.1038/ s41598-017-14984-8</w:t>
      </w:r>
      <w:r>
        <w:fldChar w:fldCharType="end"/>
      </w:r>
      <w:r>
        <w:rPr>
          <w:rStyle w:val="CharStyle3"/>
        </w:rPr>
        <w:t>.</w:t>
      </w:r>
      <w:bookmarkEnd w:id="73"/>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"http://refhub.elsevier.com/S0308-597X(23)00211-7/sbref9" </w:instrText>
      </w:r>
      <w:r>
        <w:fldChar w:fldCharType="separate"/>
      </w:r>
      <w:bookmarkStart w:id="74" w:name="bookmark74"/>
      <w:r>
        <w:rPr>
          <w:rStyle w:val="CharStyle3"/>
          <w:color w:val="2196D1"/>
        </w:rPr>
        <w:t xml:space="preserve">EU, EU Regulation 2015/1775. Amending Regulations EC 1007/2009 on Trade in</w:t>
      </w:r>
      <w:r>
        <w:fldChar w:fldCharType="end"/>
      </w:r>
      <w:r>
        <w:rPr>
          <w:rStyle w:val="CharStyle3"/>
          <w:color w:val="2196D1"/>
        </w:rPr>
        <w:t xml:space="preserve"> </w:t>
      </w:r>
      <w:r>
        <w:fldChar w:fldCharType="begin"/>
      </w:r>
      <w:r>
        <w:rPr/>
        <w:instrText> HYPERLINK "http://refhub.elsevier.com/S0308-597X(23)00211-7/sbref9" </w:instrText>
      </w:r>
      <w:r>
        <w:fldChar w:fldCharType="separate"/>
      </w:r>
      <w:r>
        <w:rPr>
          <w:rStyle w:val="CharStyle3"/>
          <w:color w:val="2196D1"/>
        </w:rPr>
        <w:t xml:space="preserve">Seal Products, and repealing Regulation 737/2020, European Commission, 2015</w:t>
      </w:r>
      <w:r>
        <w:fldChar w:fldCharType="end"/>
      </w:r>
      <w:r>
        <w:rPr>
          <w:rStyle w:val="CharStyle3"/>
        </w:rPr>
        <w:t>.</w:t>
      </w:r>
      <w:bookmarkEnd w:id="74"/>
    </w:p>
    <w:p>
      <w:pPr>
        <w:pStyle w:val="Style2"/>
        <w:keepNext w:val="0"/>
        <w:keepLines w:val="0"/>
        <w:widowControl w:val="0"/>
        <w:numPr>
          <w:ilvl w:val="0"/>
          <w:numId w:val="9"/>
        </w:numPr>
        <w:shd w:val="clear" w:color="auto" w:fill="auto"/>
        <w:tabs>
          <w:tab w:pos="356" w:val="left"/>
        </w:tabs>
        <w:spacing w:before="0" w:after="0"/>
        <w:ind w:right="0"/>
        <w:jc w:val="left"/>
      </w:pPr>
      <w:bookmarkStart w:id="75" w:name="bookmark75"/>
      <w:r>
        <w:rPr>
          <w:rStyle w:val="CharStyle3"/>
        </w:rPr>
        <w:t xml:space="preserve">EU 1992. The Council Directive 92/43/EEC on the conservation of natural habitats and of wild fauna and flora. Official Journal of the European Communities No L 206/7. </w:t>
      </w:r>
      <w:r>
        <w:fldChar w:fldCharType="begin"/>
      </w:r>
      <w:r>
        <w:rPr/>
        <w:instrText> HYPERLINK "https://eur-lex.europa.eu/legal-content/EN/TXT/HTML/?uri=CELEX" </w:instrText>
      </w:r>
      <w:r>
        <w:fldChar w:fldCharType="separate"/>
      </w:r>
      <w:r>
        <w:rPr>
          <w:rStyle w:val="CharStyle3"/>
        </w:rPr>
        <w:t>https://eur-lex.europa.eu/legal-content/EN/TXT/HTML/?uri</w:t>
      </w:r>
      <w:r>
        <w:rPr>
          <w:rStyle w:val="CharStyle3"/>
          <w:sz w:val="11"/>
        </w:rPr>
        <w:t>=</w:t>
      </w:r>
      <w:r>
        <w:rPr>
          <w:rStyle w:val="CharStyle3"/>
        </w:rPr>
        <w:t>CELEX</w:t>
      </w:r>
      <w:r>
        <w:fldChar w:fldCharType="end"/>
      </w:r>
      <w:r>
        <w:rPr>
          <w:rStyle w:val="CharStyle3"/>
        </w:rPr>
        <w:t xml:space="preserve">: 31992L0043</w:t>
      </w:r>
      <w:r>
        <w:rPr>
          <w:rStyle w:val="CharStyle3"/>
          <w:rFonts w:ascii="Times New Roman" w:hAnsi="Times New Roman" w:cs="Times New Roman" w:eastAsia="Times New Roman"/>
        </w:rPr>
        <w:t>′′</w:t>
      </w:r>
      <w:r>
        <w:rPr>
          <w:rStyle w:val="CharStyle3"/>
        </w:rPr>
        <w:t>from</w:t>
      </w:r>
      <w:r>
        <w:rPr>
          <w:rStyle w:val="CharStyle3"/>
          <w:sz w:val="11"/>
        </w:rPr>
        <w:t>=</w:t>
      </w:r>
      <w:r>
        <w:rPr>
          <w:rStyle w:val="CharStyle3"/>
        </w:rPr>
        <w:t>EN.</w:t>
      </w:r>
      <w:bookmarkEnd w:id="75"/>
    </w:p>
    <w:p>
      <w:pPr>
        <w:pStyle w:val="Style2"/>
        <w:keepNext w:val="0"/>
        <w:keepLines w:val="0"/>
        <w:widowControl w:val="0"/>
        <w:numPr>
          <w:ilvl w:val="0"/>
          <w:numId w:val="9"/>
        </w:numPr>
        <w:shd w:val="clear" w:color="auto" w:fill="auto"/>
        <w:tabs>
          <w:tab w:pos="356" w:val="left"/>
        </w:tabs>
        <w:spacing w:before="0" w:after="0"/>
        <w:ind w:right="0"/>
        <w:jc w:val="left"/>
      </w:pPr>
      <w:bookmarkStart w:id="76" w:name="bookmark76"/>
      <w:r>
        <w:rPr>
          <w:rStyle w:val="CharStyle3"/>
        </w:rPr>
        <w:t xml:space="preserve">EU 2009. Regulation (EC) No 1007/2009 OF THE EUROPEAN PARTION MENT AND OF THE COUNCIL on trade in seal products. </w:t>
      </w:r>
      <w:r>
        <w:fldChar w:fldCharType="begin"/>
      </w:r>
      <w:r>
        <w:rPr/>
        <w:instrText> HYPERLINK "https://eur-lex.europa.eu/legal-content/EN/TXT/PDF/?uri=CELEX:32009R1007" </w:instrText>
      </w:r>
      <w:r>
        <w:fldChar w:fldCharType="separate"/>
      </w:r>
      <w:r>
        <w:rPr>
          <w:rStyle w:val="CharStyle3"/>
        </w:rPr>
        <w:t xml:space="preserve">https://eur-lex.europa.eu/legal- content/EN/TXT/PDF/? uri</w:t>
      </w:r>
      <w:r>
        <w:rPr>
          <w:rStyle w:val="CharStyle3"/>
          <w:sz w:val="11"/>
        </w:rPr>
        <w:t xml:space="preserve">= CELEX:</w:t>
      </w:r>
      <w:r>
        <w:rPr>
          <w:rStyle w:val="CharStyle3"/>
        </w:rPr>
        <w:t>32009R1007</w:t>
      </w:r>
      <w:r>
        <w:fldChar w:fldCharType="end"/>
      </w:r>
      <w:r>
        <w:rPr>
          <w:rStyle w:val="CharStyle3"/>
        </w:rPr>
        <w:t xml:space="preserve"> </w:t>
      </w:r>
      <w:r>
        <w:rPr>
          <w:rStyle w:val="CharStyle3"/>
          <w:rFonts w:ascii="Times New Roman" w:hAnsi="Times New Roman" w:cs="Times New Roman" w:eastAsia="Times New Roman"/>
        </w:rPr>
        <w:t>′′</w:t>
      </w:r>
      <w:r>
        <w:rPr>
          <w:rStyle w:val="CharStyle3"/>
        </w:rPr>
        <w:t>from</w:t>
      </w:r>
      <w:r>
        <w:rPr>
          <w:rStyle w:val="CharStyle3"/>
          <w:sz w:val="11"/>
        </w:rPr>
        <w:t>=</w:t>
      </w:r>
      <w:r>
        <w:rPr>
          <w:rStyle w:val="CharStyle3"/>
        </w:rPr>
        <w:t>EN.</w:t>
      </w:r>
      <w:bookmarkEnd w:id="76"/>
    </w:p>
    <w:p>
      <w:pPr>
        <w:pStyle w:val="Style2"/>
        <w:keepNext w:val="0"/>
        <w:keepLines w:val="0"/>
        <w:widowControl w:val="0"/>
        <w:numPr>
          <w:ilvl w:val="0"/>
          <w:numId w:val="9"/>
        </w:numPr>
        <w:shd w:val="clear" w:color="auto" w:fill="auto"/>
        <w:tabs>
          <w:tab w:pos="356" w:val="left"/>
        </w:tabs>
        <w:spacing w:before="0" w:after="0"/>
        <w:ind w:right="0"/>
        <w:jc w:val="left"/>
      </w:pPr>
      <w:bookmarkStart w:id="77" w:name="bookmark77"/>
      <w:r>
        <w:rPr>
          <w:rStyle w:val="CharStyle3"/>
        </w:rPr>
        <w:t xml:space="preserve">EU 2017. Commission DECISION (EU) 2017/848 of 17 May 2017 laying down criteria and methodological standards on good environmental status of marine waters and specifications and standardised methods for monitoring and assessment, and repealing Decision 2010/477/EU.</w:t>
      </w:r>
      <w:bookmarkEnd w:id="77"/>
    </w:p>
    <w:p>
      <w:pPr>
        <w:pStyle w:val="Style2"/>
        <w:keepNext w:val="0"/>
        <w:keepLines w:val="0"/>
        <w:widowControl w:val="0"/>
        <w:numPr>
          <w:ilvl w:val="0"/>
          <w:numId w:val="9"/>
        </w:numPr>
        <w:shd w:val="clear" w:color="auto" w:fill="auto"/>
        <w:tabs>
          <w:tab w:pos="356" w:val="left"/>
        </w:tabs>
        <w:spacing w:before="0" w:after="0"/>
        <w:ind w:right="0"/>
        <w:jc w:val="left"/>
      </w:pPr>
      <w:bookmarkStart w:id="78" w:name="bookmark78"/>
      <w:r>
        <w:rPr>
          <w:rStyle w:val="CharStyle3"/>
        </w:rPr>
        <w:t xml:space="preserve">EU 2019. Regulation (EU) 2019/1241 of the European Parliament and of the Council of 20 June 2019 on the conservation of fisheries resources and the protection of marine ecosystems through technical measures. https:// </w:t>
      </w:r>
      <w:r>
        <w:fldChar w:fldCharType="begin"/>
      </w:r>
      <w:r>
        <w:rPr/>
        <w:instrText> HYPERLINK "https://eur-lex.europa.eu/legal" </w:instrText>
      </w:r>
      <w:r>
        <w:fldChar w:fldCharType="separate"/>
      </w:r>
      <w:r>
        <w:rPr>
          <w:rStyle w:val="CharStyle3"/>
        </w:rPr>
        <w:t xml:space="preserve">https://eur- lex.europa.eu/legal</w:t>
      </w:r>
      <w:r>
        <w:fldChar w:fldCharType="end"/>
      </w:r>
      <w:r>
        <w:rPr>
          <w:rStyle w:val="CharStyle3"/>
        </w:rPr>
        <w:t xml:space="preserve"> content/EN/TXT/? uri</w:t>
      </w:r>
      <w:r>
        <w:rPr>
          <w:rStyle w:val="CharStyle3"/>
          <w:sz w:val="11"/>
        </w:rPr>
        <w:t>=</w:t>
      </w:r>
      <w:r>
        <w:rPr>
          <w:rStyle w:val="CharStyle3"/>
        </w:rPr>
        <w:t xml:space="preserve">CELEX% 3A32019R1241.</w:t>
      </w:r>
      <w:bookmarkEnd w:id="78"/>
    </w:p>
    <w:p>
      <w:pPr>
        <w:pStyle w:val="Style2"/>
        <w:keepNext w:val="0"/>
        <w:keepLines w:val="0"/>
        <w:widowControl w:val="0"/>
        <w:numPr>
          <w:ilvl w:val="0"/>
          <w:numId w:val="9"/>
        </w:numPr>
        <w:shd w:val="clear" w:color="auto" w:fill="auto"/>
        <w:tabs>
          <w:tab w:pos="356" w:val="left"/>
        </w:tabs>
        <w:spacing w:before="0" w:after="0"/>
        <w:ind w:right="0"/>
        <w:jc w:val="left"/>
      </w:pPr>
      <w:bookmarkStart w:id="79" w:name="bookmark79"/>
      <w:r>
        <w:rPr>
          <w:rStyle w:val="CharStyle3"/>
        </w:rPr>
        <w:t xml:space="preserve">EU 2021. Regulation (EU) 2021/1139 OF THE EUROPEAN PART MENT AND OF THE COUNCIL of 7 July 2021 establishing the European Maritime, Fisheries and Aquaculture Fund and amending Regulation (EU) 2017/1004 </w:t>
      </w:r>
      <w:r>
        <w:fldChar w:fldCharType="begin"/>
      </w:r>
      <w:r>
        <w:rPr/>
        <w:instrText> HYPERLINK "https://eur-lex" </w:instrText>
      </w:r>
      <w:r>
        <w:fldChar w:fldCharType="separate"/>
      </w:r>
      <w:r>
        <w:rPr>
          <w:rStyle w:val="CharStyle3"/>
        </w:rPr>
        <w:t>https://eur-lex</w:t>
      </w:r>
      <w:r>
        <w:fldChar w:fldCharType="end"/>
      </w:r>
      <w:r>
        <w:rPr>
          <w:rStyle w:val="CharStyle3"/>
        </w:rPr>
        <w:t xml:space="preserve">. europa.eu/legal-content/EN/TXT/PDF/?uri</w:t>
      </w:r>
      <w:r>
        <w:rPr>
          <w:rStyle w:val="CharStyle3"/>
          <w:sz w:val="11"/>
        </w:rPr>
        <w:t>=</w:t>
      </w:r>
      <w:r>
        <w:rPr>
          <w:rStyle w:val="CharStyle3"/>
        </w:rPr>
        <w:t xml:space="preserve">CELEX: 32021R1139</w:t>
      </w:r>
      <w:r>
        <w:rPr>
          <w:rStyle w:val="CharStyle3"/>
          <w:rFonts w:ascii="Times New Roman" w:hAnsi="Times New Roman" w:cs="Times New Roman" w:eastAsia="Times New Roman"/>
        </w:rPr>
        <w:t>gences</w:t>
      </w:r>
      <w:r>
        <w:rPr>
          <w:rStyle w:val="CharStyle3"/>
        </w:rPr>
        <w:t>from</w:t>
      </w:r>
      <w:r>
        <w:rPr>
          <w:rStyle w:val="CharStyle3"/>
          <w:sz w:val="11"/>
        </w:rPr>
        <w:t>=</w:t>
      </w:r>
      <w:r>
        <w:rPr>
          <w:rStyle w:val="CharStyle3"/>
        </w:rPr>
        <w:t>EN.</w:t>
      </w:r>
      <w:bookmarkEnd w:id="79"/>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"http://refhub.elsevier.com/S0308-597X(23)00211-7/sbref10" </w:instrText>
      </w:r>
      <w:r>
        <w:fldChar w:fldCharType="separate"/>
      </w:r>
      <w:r>
        <w:rPr>
          <w:rStyle w:val="CharStyle3"/>
          <w:color w:val="2196D1"/>
        </w:rPr>
        <w:t xml:space="preserve">A. Fj</w:t>
      </w:r>
      <w:r>
        <w:rPr>
          <w:rStyle w:val="CharStyle3"/>
          <w:color w:val="2196D1"/>
          <w:sz w:val="11"/>
        </w:rPr>
        <w:t xml:space="preserve"> ̈</w:t>
      </w:r>
      <w:r>
        <w:rPr>
          <w:rStyle w:val="CharStyle3"/>
          <w:color w:val="2196D1"/>
        </w:rPr>
        <w:t xml:space="preserve">alling, The estimation of hidden seal-inflicted losses in the Baltic Sea set-trap</w:t>
      </w:r>
      <w:r>
        <w:fldChar w:fldCharType="end"/>
      </w:r>
      <w:r>
        <w:rPr>
          <w:rStyle w:val="CharStyle3"/>
          <w:color w:val="2196D1"/>
        </w:rPr>
        <w:t xml:space="preserve"> </w:t>
      </w:r>
      <w:r>
        <w:fldChar w:fldCharType="begin"/>
      </w:r>
      <w:r>
        <w:rPr/>
        <w:instrText> HYPERLINK "http://refhub.elsevier.com/S0308-597X(23)00211-7/sbref10" </w:instrText>
      </w:r>
      <w:r>
        <w:fldChar w:fldCharType="separate"/>
      </w:r>
      <w:r>
        <w:rPr>
          <w:rStyle w:val="CharStyle3"/>
          <w:color w:val="2196D1"/>
        </w:rPr>
        <w:t xml:space="preserve">salmon fisheries, ICES J. Mar. SCI. 62 (2005)</w:t>
      </w:r>
      <w:r>
        <w:rPr>
          <w:rStyle w:val="CharStyle3"/>
          <w:color w:val="2196D1"/>
          <w:sz w:val="11"/>
        </w:rPr>
      </w:r>
      <w:r>
        <w:rPr>
          <w:rStyle w:val="CharStyle3"/>
          <w:color w:val="2196D1"/>
        </w:rPr>
        <w:t>1630-1635</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bookmarkStart w:id="80" w:name="bookmark80"/>
      <w:r>
        <w:rPr>
          <w:rStyle w:val="CharStyle3"/>
        </w:rPr>
        <w:t xml:space="preserve">A. Galatius, J. Teilmann, M. D</w:t>
      </w:r>
      <w:r>
        <w:rPr>
          <w:rStyle w:val="CharStyle3"/>
          <w:sz w:val="11"/>
        </w:rPr>
        <w:t xml:space="preserve"> ̈</w:t>
      </w:r>
      <w:r>
        <w:rPr>
          <w:rStyle w:val="CharStyle3"/>
        </w:rPr>
        <w:t xml:space="preserve">ahne, M. Ahola, L. Westphal, L.A. Kyhn, I. Pawliczka, M. Tange Olsen, R. Dietz, Grey seal </w:t>
      </w:r>
      <w:r>
        <w:rPr>
          <w:rStyle w:val="CharStyle3"/>
          <w:i/>
        </w:rPr>
        <w:t xml:space="preserve">Halichoerus grypus</w:t>
      </w:r>
      <w:r>
        <w:rPr>
          <w:rStyle w:val="CharStyle3"/>
        </w:rPr>
        <w:t xml:space="preserve"> recolonisation of the southern Baltic Sea, Danish Straits and Kattegat, Wildl. Biol. 2020 (2020), </w:t>
      </w:r>
      <w:r>
        <w:fldChar w:fldCharType="begin"/>
      </w:r>
      <w:r>
        <w:rPr/>
        <w:instrText> HYPERLINK "https://doi.org/10.2981/wlb.00711" </w:instrText>
      </w:r>
      <w:r>
        <w:fldChar w:fldCharType="separate"/>
      </w:r>
      <w:r>
        <w:rPr>
          <w:rStyle w:val="CharStyle3"/>
          <w:color w:val="2196D1"/>
        </w:rPr>
        <w:t>https://</w:t>
      </w:r>
      <w:r>
        <w:fldChar w:fldCharType="end"/>
      </w:r>
      <w:r>
        <w:rPr>
          <w:rStyle w:val="CharStyle3"/>
          <w:color w:val="2196D1"/>
        </w:rPr>
        <w:t xml:space="preserve"> </w:t>
      </w:r>
      <w:r>
        <w:fldChar w:fldCharType="begin"/>
      </w:r>
      <w:r>
        <w:rPr/>
        <w:instrText> HYPERLINK "https://doi.org/10.2981/wlb.00711" </w:instrText>
      </w:r>
      <w:r>
        <w:fldChar w:fldCharType="separate"/>
      </w:r>
      <w:r>
        <w:rPr>
          <w:rStyle w:val="CharStyle3"/>
          <w:color w:val="2196D1"/>
        </w:rPr>
        <w:t>doi.org/10.2981/wlb.00711</w:t>
      </w:r>
      <w:r>
        <w:fldChar w:fldCharType="end"/>
      </w:r>
      <w:r>
        <w:rPr>
          <w:rStyle w:val="CharStyle3"/>
        </w:rPr>
        <w:t>.</w:t>
      </w:r>
      <w:bookmarkEnd w:id="80"/>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"http://refhub.elsevier.com/S0308-597X(23)00211-7/sbref12" </w:instrText>
      </w:r>
      <w:r>
        <w:fldChar w:fldCharType="separate"/>
      </w:r>
      <w:bookmarkStart w:id="81" w:name="bookmark81"/>
      <w:r>
        <w:rPr>
          <w:rStyle w:val="CharStyle3"/>
          <w:color w:val="2196D1"/>
        </w:rPr>
        <w:t xml:space="preserve">H.C.J. Godfray, J.R. Beddington, I.R. Crute, L. Haddad, D. Lawrance, J.F. Muir, et</w:t>
      </w:r>
      <w:r>
        <w:fldChar w:fldCharType="end"/>
      </w:r>
      <w:r>
        <w:rPr>
          <w:rStyle w:val="CharStyle3"/>
          <w:color w:val="2196D1"/>
        </w:rPr>
        <w:t xml:space="preserve"> </w:t>
      </w:r>
      <w:r>
        <w:fldChar w:fldCharType="begin"/>
      </w:r>
      <w:r>
        <w:rPr/>
        <w:instrText> HYPERLINK "http://refhub.elsevier.com/S0308-597X(23)00211-7/sbref12" </w:instrText>
      </w:r>
      <w:r>
        <w:fldChar w:fldCharType="separate"/>
      </w:r>
      <w:r>
        <w:rPr>
          <w:rStyle w:val="CharStyle3"/>
          <w:color w:val="2196D1"/>
        </w:rPr>
        <w:t xml:space="preserve">al., Food security: the challenge of feeding 9 billion people, Sci. (REV.) 327 (</w:t>
      </w:r>
      <w:r>
        <w:fldChar w:fldCharType="end"/>
      </w:r>
      <w:r>
        <w:rPr>
          <w:rStyle w:val="CharStyle3"/>
          <w:color w:val="2196D1"/>
        </w:rPr>
        <w:t xml:space="preserve"> </w:t>
      </w:r>
      <w:r>
        <w:fldChar w:fldCharType="begin"/>
      </w:r>
      <w:r>
        <w:rPr/>
        <w:instrText> HYPERLINK "http://refhub.elsevier.com/S0308-597X(23)00211-7/sbref12" </w:instrText>
      </w:r>
      <w:r>
        <w:fldChar w:fldCharType="separate"/>
      </w:r>
      <w:r>
        <w:rPr>
          <w:rStyle w:val="CharStyle3"/>
          <w:color w:val="2196D1"/>
        </w:rPr>
        <w:t>2010)</w:t>
      </w:r>
      <w:r>
        <w:rPr>
          <w:rStyle w:val="CharStyle3"/>
          <w:color w:val="2196D1"/>
          <w:sz w:val="11"/>
        </w:rPr>
      </w:r>
      <w:r>
        <w:rPr>
          <w:rStyle w:val="CharStyle3"/>
          <w:color w:val="2196D1"/>
        </w:rPr>
        <w:t>812-818</w:t>
      </w:r>
      <w:r>
        <w:fldChar w:fldCharType="end"/>
      </w:r>
      <w:r>
        <w:rPr>
          <w:rStyle w:val="CharStyle3"/>
        </w:rPr>
        <w:t>.</w:t>
      </w:r>
      <w:bookmarkEnd w:id="81"/>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"http://refhub.elsevier.com/S0308-597X(23)00211-7/sbref13" </w:instrText>
      </w:r>
      <w:r>
        <w:fldChar w:fldCharType="separate"/>
      </w:r>
      <w:bookmarkStart w:id="82" w:name="bookmark82"/>
      <w:r>
        <w:rPr>
          <w:rStyle w:val="CharStyle3"/>
          <w:color w:val="2196D1"/>
        </w:rPr>
        <w:t xml:space="preserve">S. Hansson, U. Bergstr</w:t>
      </w:r>
      <w:r>
        <w:rPr>
          <w:rStyle w:val="CharStyle3"/>
          <w:color w:val="2196D1"/>
          <w:sz w:val="11"/>
        </w:rPr>
        <w:t xml:space="preserve"> ̈</w:t>
      </w:r>
      <w:r>
        <w:rPr>
          <w:rStyle w:val="CharStyle3"/>
          <w:color w:val="2196D1"/>
        </w:rPr>
        <w:t xml:space="preserve">om, E. Bonsdorff, T. H</w:t>
      </w:r>
      <w:r>
        <w:rPr>
          <w:rStyle w:val="CharStyle3"/>
          <w:color w:val="2196D1"/>
          <w:sz w:val="11"/>
        </w:rPr>
        <w:t xml:space="preserve"> ̈</w:t>
      </w:r>
      <w:r>
        <w:rPr>
          <w:rStyle w:val="CharStyle3"/>
          <w:color w:val="2196D1"/>
        </w:rPr>
        <w:t>Arko</w:t>
      </w:r>
      <w:r>
        <w:rPr>
          <w:rStyle w:val="CharStyle3"/>
          <w:color w:val="2196D1"/>
          <w:sz w:val="11"/>
        </w:rPr>
        <w:t xml:space="preserve"> ̈</w:t>
      </w:r>
      <w:r>
        <w:rPr>
          <w:rStyle w:val="CharStyle3"/>
          <w:color w:val="2196D1"/>
        </w:rPr>
        <w:t xml:space="preserve">nen, N. Jepsen, L. Kautsky,</w:t>
      </w:r>
      <w:r>
        <w:fldChar w:fldCharType="end"/>
      </w:r>
      <w:r>
        <w:rPr>
          <w:rStyle w:val="CharStyle3"/>
          <w:color w:val="2196D1"/>
        </w:rPr>
        <w:t xml:space="preserve"> </w:t>
      </w:r>
      <w:r>
        <w:fldChar w:fldCharType="begin"/>
      </w:r>
      <w:r>
        <w:rPr/>
        <w:instrText> HYPERLINK "http://refhub.elsevier.com/S0308-597X(23)00211-7/sbref13" </w:instrText>
      </w:r>
      <w:r>
        <w:fldChar w:fldCharType="separate"/>
      </w:r>
      <w:r>
        <w:rPr>
          <w:rStyle w:val="CharStyle3"/>
          <w:color w:val="2196D1"/>
        </w:rPr>
        <w:t xml:space="preserve">K. Lundstr</w:t>
      </w:r>
      <w:r>
        <w:rPr>
          <w:rStyle w:val="CharStyle3"/>
          <w:color w:val="2196D1"/>
          <w:sz w:val="11"/>
        </w:rPr>
        <w:t xml:space="preserve"> ̈</w:t>
      </w:r>
      <w:r>
        <w:rPr>
          <w:rStyle w:val="CharStyle3"/>
          <w:color w:val="2196D1"/>
        </w:rPr>
        <w:t xml:space="preserve">om, S.G. Lunneryd, et al., Competition for the fish </w:t>
      </w:r>
      <w:r>
        <w:rPr>
          <w:rStyle w:val="CharStyle3"/>
          <w:color w:val="2196D1"/>
          <w:sz w:val="11"/>
        </w:rPr>
        <w:t xml:space="preserve">– </w:t>
      </w:r>
      <w:r>
        <w:rPr>
          <w:rStyle w:val="CharStyle3"/>
          <w:color w:val="2196D1"/>
        </w:rPr>
        <w:t xml:space="preserve">fish extraction from</w:t>
      </w:r>
      <w:r>
        <w:fldChar w:fldCharType="end"/>
      </w:r>
      <w:r>
        <w:rPr>
          <w:rStyle w:val="CharStyle3"/>
          <w:color w:val="2196D1"/>
        </w:rPr>
        <w:t xml:space="preserve"> </w:t>
      </w:r>
      <w:r>
        <w:fldChar w:fldCharType="begin"/>
      </w:r>
      <w:r>
        <w:rPr/>
        <w:instrText> HYPERLINK "http://refhub.elsevier.com/S0308-597X(23)00211-7/sbref13" </w:instrText>
      </w:r>
      <w:r>
        <w:fldChar w:fldCharType="separate"/>
      </w:r>
      <w:r>
        <w:rPr>
          <w:rStyle w:val="CharStyle3"/>
          <w:color w:val="2196D1"/>
        </w:rPr>
        <w:t xml:space="preserve">the Baltic Sea by humans, aquatic mammals and birds, ICES J. Mar. SCI. 75 (2018</w:t>
      </w:r>
      <w:r>
        <w:fldChar w:fldCharType="end"/>
      </w:r>
      <w:r>
        <w:fldChar w:fldCharType="begin"/>
      </w:r>
      <w:r>
        <w:rPr/>
        <w:instrText> HYPERLINK "http://refhub.elsevier.com/S0308-597X(23)00211-7/sbref13" </w:instrText>
      </w:r>
      <w:r>
        <w:fldChar w:fldCharType="separate"/>
      </w:r>
      <w:r>
        <w:rPr>
          <w:rStyle w:val="CharStyle3"/>
          <w:color w:val="2196D1"/>
        </w:rPr>
        <w:t>)</w:t>
      </w:r>
      <w:r>
        <w:rPr>
          <w:rStyle w:val="CharStyle3"/>
          <w:color w:val="2196D1"/>
          <w:sz w:val="11"/>
        </w:rPr>
      </w:r>
      <w:r>
        <w:rPr>
          <w:rStyle w:val="CharStyle3"/>
          <w:color w:val="2196D1"/>
        </w:rPr>
        <w:t>999-1008</w:t>
      </w:r>
      <w:r>
        <w:fldChar w:fldCharType="end"/>
      </w:r>
      <w:r>
        <w:rPr>
          <w:rStyle w:val="CharStyle3"/>
        </w:rPr>
        <w:t>.</w:t>
      </w:r>
      <w:bookmarkEnd w:id="82"/>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"http://refhub.elsevier.com/S0308-597X(23)00211-7/sbref14" </w:instrText>
      </w:r>
      <w:r>
        <w:fldChar w:fldCharType="separate"/>
      </w:r>
      <w:bookmarkStart w:id="83" w:name="bookmark83"/>
      <w:r>
        <w:rPr>
          <w:rStyle w:val="CharStyle3"/>
          <w:color w:val="2196D1"/>
        </w:rPr>
        <w:t xml:space="preserve">K.c. Harding, T.J. H</w:t>
      </w:r>
      <w:r>
        <w:rPr>
          <w:rStyle w:val="CharStyle3"/>
          <w:color w:val="2196D1"/>
          <w:sz w:val="11"/>
        </w:rPr>
        <w:t xml:space="preserve"> ̈</w:t>
      </w:r>
      <w:r>
        <w:rPr>
          <w:rStyle w:val="CharStyle3"/>
          <w:color w:val="2196D1"/>
        </w:rPr>
        <w:t>Arko</w:t>
      </w:r>
      <w:r>
        <w:rPr>
          <w:rStyle w:val="CharStyle3"/>
          <w:color w:val="2196D1"/>
          <w:sz w:val="11"/>
        </w:rPr>
        <w:t xml:space="preserve"> ̈</w:t>
      </w:r>
      <w:r>
        <w:rPr>
          <w:rStyle w:val="CharStyle3"/>
          <w:color w:val="2196D1"/>
        </w:rPr>
        <w:t xml:space="preserve">nen, Development in the Baltic grey seal (</w:t>
      </w:r>
      <w:r>
        <w:rPr>
          <w:rStyle w:val="CharStyle3"/>
          <w:i/>
          <w:color w:val="2196D1"/>
        </w:rPr>
        <w:t>Halichoerus</w:t>
      </w:r>
      <w:r>
        <w:fldChar w:fldCharType="end"/>
      </w:r>
      <w:r>
        <w:rPr>
          <w:rStyle w:val="CharStyle3"/>
          <w:i/>
          <w:color w:val="2196D1"/>
        </w:rPr>
        <w:t xml:space="preserve"> </w:t>
      </w:r>
      <w:r>
        <w:fldChar w:fldCharType="begin"/>
      </w:r>
      <w:r>
        <w:rPr/>
        <w:instrText> HYPERLINK "http://refhub.elsevier.com/S0308-597X(23)00211-7/sbref14" </w:instrText>
      </w:r>
      <w:r>
        <w:fldChar w:fldCharType="separate"/>
      </w:r>
      <w:r>
        <w:rPr>
          <w:rStyle w:val="CharStyle3"/>
          <w:i/>
          <w:color w:val="2196D1"/>
        </w:rPr>
        <w:t>grypus</w:t>
      </w:r>
      <w:r>
        <w:rPr>
          <w:rStyle w:val="CharStyle3"/>
          <w:color w:val="2196D1"/>
        </w:rPr>
        <w:t xml:space="preserve">) and ringed seal (</w:t>
      </w:r>
      <w:r>
        <w:rPr>
          <w:rStyle w:val="CharStyle3"/>
          <w:i/>
          <w:color w:val="2196D1"/>
        </w:rPr>
        <w:t xml:space="preserve">Phoca hispida</w:t>
      </w:r>
      <w:r>
        <w:rPr>
          <w:rStyle w:val="CharStyle3"/>
          <w:color w:val="2196D1"/>
        </w:rPr>
        <w:t xml:space="preserve">) populations during the 20th century, Ambio</w:t>
      </w:r>
      <w:r>
        <w:fldChar w:fldCharType="end"/>
      </w:r>
      <w:r>
        <w:rPr>
          <w:rStyle w:val="CharStyle3"/>
          <w:color w:val="2196D1"/>
        </w:rPr>
        <w:t xml:space="preserve"> </w:t>
      </w:r>
      <w:r>
        <w:fldChar w:fldCharType="begin"/>
      </w:r>
      <w:r>
        <w:rPr/>
        <w:instrText> HYPERLINK "http://refhub.elsevier.com/S0308-597X(23)00211-7/sbref14" </w:instrText>
      </w:r>
      <w:r>
        <w:fldChar w:fldCharType="separate"/>
      </w:r>
      <w:r>
        <w:rPr>
          <w:rStyle w:val="CharStyle3"/>
          <w:color w:val="2196D1"/>
        </w:rPr>
        <w:t xml:space="preserve">28 (1999)</w:t>
      </w:r>
      <w:r>
        <w:rPr>
          <w:rStyle w:val="CharStyle3"/>
          <w:color w:val="2196D1"/>
          <w:sz w:val="11"/>
        </w:rPr>
      </w:r>
      <w:r>
        <w:rPr>
          <w:rStyle w:val="CharStyle3"/>
          <w:color w:val="2196D1"/>
        </w:rPr>
        <w:t>619-627</w:t>
      </w:r>
      <w:r>
        <w:fldChar w:fldCharType="end"/>
      </w:r>
      <w:r>
        <w:rPr>
          <w:rStyle w:val="CharStyle3"/>
        </w:rPr>
        <w:t>.</w:t>
      </w:r>
      <w:bookmarkEnd w:id="83"/>
    </w:p>
    <w:p>
      <w:pPr>
        <w:pStyle w:val="Style2"/>
        <w:keepNext w:val="0"/>
        <w:keepLines w:val="0"/>
        <w:widowControl w:val="0"/>
        <w:numPr>
          <w:ilvl w:val="0"/>
          <w:numId w:val="9"/>
        </w:numPr>
        <w:shd w:val="clear" w:color="auto" w:fill="auto"/>
        <w:tabs>
          <w:tab w:pos="356" w:val="left"/>
        </w:tabs>
        <w:spacing w:before="0" w:after="0"/>
        <w:ind w:right="0"/>
        <w:jc w:val="left"/>
      </w:pPr>
      <w:bookmarkStart w:id="84" w:name="bookmark84"/>
      <w:r>
        <w:rPr>
          <w:rStyle w:val="CharStyle3"/>
        </w:rPr>
        <w:t>Ha</w:t>
      </w:r>
      <w:r>
        <w:rPr>
          <w:rStyle w:val="CharStyle3"/>
          <w:sz w:val="11"/>
        </w:rPr>
        <w:t xml:space="preserve"> ̈</w:t>
      </w:r>
      <w:r>
        <w:rPr>
          <w:rStyle w:val="CharStyle3"/>
        </w:rPr>
        <w:t>rko</w:t>
      </w:r>
      <w:r>
        <w:rPr>
          <w:rStyle w:val="CharStyle3"/>
          <w:sz w:val="11"/>
        </w:rPr>
        <w:t xml:space="preserve"> ̈</w:t>
      </w:r>
      <w:r>
        <w:rPr>
          <w:rStyle w:val="CharStyle3"/>
        </w:rPr>
        <w:t xml:space="preserve">nen, T., Galatius, A., Zwifel, U.L. 2017. BalticBOOST. Appendix 1, WP 1.4 Deliverable 1 HELCOM. 20 P. BalticBOOST_WP-1_4-Deliverable-1-Aligning- assessment-GES-regarding-status-seal-population.pdf (helcom.fi)</w:t>
      </w:r>
      <w:bookmarkEnd w:id="84"/>
    </w:p>
    <w:p>
      <w:pPr>
        <w:pStyle w:val="Style2"/>
        <w:keepNext w:val="0"/>
        <w:keepLines w:val="0"/>
        <w:widowControl w:val="0"/>
        <w:numPr>
          <w:ilvl w:val="0"/>
          <w:numId w:val="9"/>
        </w:numPr>
        <w:shd w:val="clear" w:color="auto" w:fill="auto"/>
        <w:tabs>
          <w:tab w:pos="356" w:val="left"/>
        </w:tabs>
        <w:spacing w:before="0" w:after="0"/>
        <w:ind w:right="0"/>
        <w:jc w:val="left"/>
      </w:pPr>
      <w:bookmarkStart w:id="85" w:name="bookmark85"/>
      <w:r>
        <w:rPr>
          <w:rStyle w:val="CharStyle3"/>
        </w:rPr>
        <w:t xml:space="preserve">Helander, B., Sj</w:t>
      </w:r>
      <w:r>
        <w:rPr>
          <w:rStyle w:val="CharStyle3"/>
          <w:sz w:val="11"/>
        </w:rPr>
        <w:t xml:space="preserve"> ̈</w:t>
      </w:r>
      <w:r>
        <w:rPr>
          <w:rStyle w:val="CharStyle3"/>
        </w:rPr>
        <w:t xml:space="preserve">Oåsen, T. 1985. S</w:t>
      </w:r>
      <w:r>
        <w:rPr>
          <w:rStyle w:val="CharStyle3"/>
          <w:sz w:val="11"/>
        </w:rPr>
        <w:t xml:space="preserve"> ̈</w:t>
      </w:r>
      <w:r>
        <w:rPr>
          <w:rStyle w:val="CharStyle3"/>
        </w:rPr>
        <w:t xml:space="preserve">algae stock on the Swedish south and east coast</w:t>
      </w:r>
      <w:r>
        <w:rPr>
          <w:rStyle w:val="CharStyle3"/>
          <w:sz w:val="11"/>
        </w:rPr>
        <w:t>1975-1984</w:t>
      </w:r>
      <w:r>
        <w:rPr>
          <w:rStyle w:val="CharStyle3"/>
        </w:rPr>
        <w:t xml:space="preserve">. Riksmuseet 1985: 2, Stockholm, Sweden. (in Swedish).</w:t>
      </w:r>
      <w:bookmarkEnd w:id="85"/>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"http://refhub.elsevier.com/S0308-597X(23)00211-7/sbref15" </w:instrText>
      </w:r>
      <w:r>
        <w:fldChar w:fldCharType="separate"/>
      </w:r>
      <w:bookmarkStart w:id="86" w:name="bookmark86"/>
      <w:r>
        <w:rPr>
          <w:rStyle w:val="CharStyle3"/>
          <w:color w:val="2196D1"/>
        </w:rPr>
        <w:t xml:space="preserve">HELCOM, Conservation of seals in the Baltic Sea. HELCOM Recommendation 27-28/2</w:t>
      </w:r>
      <w:r>
        <w:fldChar w:fldCharType="end"/>
      </w:r>
      <w:r>
        <w:fldChar w:fldCharType="begin"/>
      </w:r>
      <w:r>
        <w:rPr/>
        <w:instrText> HYPERLINK "http://refhub.elsevier.com/S0308-597X(23)00211-7/sbref15" </w:instrText>
      </w:r>
      <w:r>
        <w:fldChar w:fldCharType="separate"/>
      </w:r>
      <w:r>
        <w:rPr>
          <w:rStyle w:val="CharStyle3"/>
          <w:color w:val="2196D1"/>
        </w:rPr>
        <w:t xml:space="preserve">, Helsinki Commission, Baltic Marine Environment Protection Commission,</w:t>
      </w:r>
      <w:r>
        <w:fldChar w:fldCharType="end"/>
      </w:r>
      <w:r>
        <w:rPr>
          <w:rStyle w:val="CharStyle3"/>
          <w:color w:val="2196D1"/>
        </w:rPr>
        <w:t xml:space="preserve"> </w:t>
      </w:r>
      <w:r>
        <w:fldChar w:fldCharType="begin"/>
      </w:r>
      <w:r>
        <w:rPr/>
        <w:instrText> HYPERLINK "http://refhub.elsevier.com/S0308-597X(23)00211-7/sbref15" </w:instrText>
      </w:r>
      <w:r>
        <w:fldChar w:fldCharType="separate"/>
      </w:r>
      <w:r>
        <w:rPr>
          <w:rStyle w:val="CharStyle3"/>
          <w:color w:val="2196D1"/>
        </w:rPr>
        <w:t>2006</w:t>
      </w:r>
      <w:r>
        <w:fldChar w:fldCharType="end"/>
      </w:r>
      <w:r>
        <w:rPr>
          <w:rStyle w:val="CharStyle3"/>
        </w:rPr>
        <w:t>.</w:t>
      </w:r>
      <w:bookmarkEnd w:id="86"/>
    </w:p>
    <w:p>
      <w:pPr>
        <w:pStyle w:val="Style2"/>
        <w:keepNext w:val="0"/>
        <w:keepLines w:val="0"/>
        <w:widowControl w:val="0"/>
        <w:numPr>
          <w:ilvl w:val="0"/>
          <w:numId w:val="9"/>
        </w:numPr>
        <w:shd w:val="clear" w:color="auto" w:fill="auto"/>
        <w:tabs>
          <w:tab w:pos="356" w:val="left"/>
        </w:tabs>
        <w:spacing w:before="0" w:after="0"/>
        <w:ind w:right="0"/>
        <w:jc w:val="left"/>
      </w:pPr>
      <w:bookmarkStart w:id="87" w:name="bookmark87"/>
      <w:r>
        <w:rPr>
          <w:rStyle w:val="CharStyle3"/>
        </w:rPr>
        <w:t xml:space="preserve">HELCOM 2013. Status of national management plans for destinations. Document prepared as background document for the 2013 HELCOM Ministerial Meeting. 3 P. https:// helcom.fi/media/documents /Status-on-national-management-plan-for-seals.pdf.</w:t>
      </w:r>
      <w:bookmarkEnd w:id="87"/>
    </w:p>
    <w:p>
      <w:pPr>
        <w:pStyle w:val="Style2"/>
        <w:keepNext w:val="0"/>
        <w:keepLines w:val="0"/>
        <w:widowControl w:val="0"/>
        <w:numPr>
          <w:ilvl w:val="0"/>
          <w:numId w:val="9"/>
        </w:numPr>
        <w:shd w:val="clear" w:color="auto" w:fill="auto"/>
        <w:tabs>
          <w:tab w:pos="356" w:val="left"/>
        </w:tabs>
        <w:spacing w:before="0" w:after="0"/>
        <w:ind w:right="0"/>
        <w:jc w:val="left"/>
      </w:pPr>
      <w:bookmarkStart w:id="88" w:name="bookmark88"/>
      <w:r>
        <w:rPr>
          <w:rStyle w:val="CharStyle3"/>
        </w:rPr>
        <w:t xml:space="preserve">HELCOM 2018a. Population trends and abundance of seals. HELCOM core indicator report. July 2018.</w:t>
      </w:r>
      <w:bookmarkEnd w:id="88"/>
    </w:p>
    <w:p>
      <w:pPr>
        <w:pStyle w:val="Style2"/>
        <w:keepNext w:val="0"/>
        <w:keepLines w:val="0"/>
        <w:widowControl w:val="0"/>
        <w:numPr>
          <w:ilvl w:val="0"/>
          <w:numId w:val="9"/>
        </w:numPr>
        <w:shd w:val="clear" w:color="auto" w:fill="auto"/>
        <w:tabs>
          <w:tab w:pos="356" w:val="left"/>
        </w:tabs>
        <w:spacing w:before="0" w:after="0"/>
        <w:ind w:right="0"/>
        <w:jc w:val="left"/>
      </w:pPr>
      <w:bookmarkStart w:id="89" w:name="bookmark89"/>
      <w:r>
        <w:rPr>
          <w:rStyle w:val="CharStyle3"/>
        </w:rPr>
        <w:t xml:space="preserve">HELCOM 2018b. State of the Baltic Sea </w:t>
      </w:r>
      <w:r>
        <w:rPr>
          <w:rStyle w:val="CharStyle3"/>
          <w:sz w:val="11"/>
        </w:rPr>
        <w:t xml:space="preserve">– </w:t>
      </w:r>
      <w:r>
        <w:rPr>
          <w:rStyle w:val="CharStyle3"/>
        </w:rPr>
        <w:t xml:space="preserve">Second HELCOM holistic assessment</w:t>
      </w:r>
      <w:r>
        <w:rPr>
          <w:rStyle w:val="CharStyle3"/>
          <w:sz w:val="11"/>
        </w:rPr>
        <w:t>2011-2016</w:t>
      </w:r>
      <w:r>
        <w:rPr>
          <w:rStyle w:val="CharStyle3"/>
        </w:rPr>
        <w:t xml:space="preserve">. Baltic Sea Environment Proceedings 155. 162 P.</w:t>
      </w:r>
      <w:bookmarkEnd w:id="89"/>
    </w:p>
    <w:p>
      <w:pPr>
        <w:pStyle w:val="Style2"/>
        <w:keepNext w:val="0"/>
        <w:keepLines w:val="0"/>
        <w:widowControl w:val="0"/>
        <w:numPr>
          <w:ilvl w:val="0"/>
          <w:numId w:val="9"/>
        </w:numPr>
        <w:shd w:val="clear" w:color="auto" w:fill="auto"/>
        <w:tabs>
          <w:tab w:pos="356" w:val="left"/>
        </w:tabs>
        <w:spacing w:before="0" w:after="0"/>
        <w:ind w:right="0"/>
        <w:jc w:val="left"/>
      </w:pPr>
      <w:bookmarkStart w:id="90" w:name="bookmark90"/>
      <w:r>
        <w:rPr>
          <w:rStyle w:val="CharStyle3"/>
        </w:rPr>
        <w:t xml:space="preserve">HELCOM 2021. Helcom Baltic Sea Action Plan </w:t>
      </w:r>
      <w:r>
        <w:rPr>
          <w:rStyle w:val="CharStyle3"/>
          <w:sz w:val="11"/>
        </w:rPr>
        <w:t xml:space="preserve">– </w:t>
      </w:r>
      <w:r>
        <w:rPr>
          <w:rStyle w:val="CharStyle3"/>
        </w:rPr>
        <w:t xml:space="preserve">2021 update. https://helcom.fi/ </w:t>
      </w:r>
      <w:r>
        <w:fldChar w:fldCharType="begin"/>
      </w:r>
      <w:r>
        <w:rPr/>
        <w:instrText> HYPERLINK "https://helcom.fi/" </w:instrText>
      </w:r>
      <w:r>
        <w:fldChar w:fldCharType="separate"/>
      </w:r>
      <w:r>
        <w:rPr>
          <w:rStyle w:val="CharStyle3"/>
        </w:rPr>
        <w:t>wp</w:t>
      </w:r>
      <w:r>
        <w:fldChar w:fldCharType="end"/>
      </w:r>
      <w:r>
        <w:rPr>
          <w:rStyle w:val="CharStyle3"/>
        </w:rPr>
        <w:t xml:space="preserve"> content/uploads/2021/10/Baltic-Sea-Action-Plan-2021-update.pdf.</w:t>
      </w:r>
      <w:bookmarkEnd w:id="90"/>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"http://refhub.elsevier.com/S0308-597X(23)00211-7/sbref16" </w:instrText>
      </w:r>
      <w:r>
        <w:fldChar w:fldCharType="separate"/>
      </w:r>
      <w:bookmarkStart w:id="91" w:name="bookmark91"/>
      <w:r>
        <w:rPr>
          <w:rStyle w:val="CharStyle3"/>
          <w:color w:val="2196D1"/>
        </w:rPr>
        <w:t xml:space="preserve">E. Helle, lowered reproductive capacity in female ringed seals (</w:t>
      </w:r>
      <w:r>
        <w:rPr>
          <w:rStyle w:val="CharStyle3"/>
          <w:i/>
          <w:color w:val="2196D1"/>
        </w:rPr>
        <w:t xml:space="preserve">Pusa hispida</w:t>
      </w:r>
      <w:r>
        <w:rPr>
          <w:rStyle w:val="CharStyle3"/>
          <w:color w:val="2196D1"/>
        </w:rPr>
        <w:t xml:space="preserve">) in the</w:t>
      </w:r>
      <w:r>
        <w:fldChar w:fldCharType="end"/>
      </w:r>
      <w:r>
        <w:rPr>
          <w:rStyle w:val="CharStyle3"/>
          <w:color w:val="2196D1"/>
        </w:rPr>
        <w:t xml:space="preserve"> </w:t>
      </w:r>
      <w:r>
        <w:fldChar w:fldCharType="begin"/>
      </w:r>
      <w:r>
        <w:rPr/>
        <w:instrText> HYPERLINK "http://refhub.elsevier.com/S0308-597X(23)00211-7/sbref16" </w:instrText>
      </w:r>
      <w:r>
        <w:fldChar w:fldCharType="separate"/>
      </w:r>
      <w:r>
        <w:rPr>
          <w:rStyle w:val="CharStyle3"/>
          <w:color w:val="2196D1"/>
        </w:rPr>
        <w:t xml:space="preserve">Bothnian Bay, northern Baltic Sea, with special reference to uterine clusters,</w:t>
      </w:r>
      <w:r>
        <w:fldChar w:fldCharType="end"/>
      </w:r>
      <w:r>
        <w:rPr>
          <w:rStyle w:val="CharStyle3"/>
          <w:color w:val="2196D1"/>
        </w:rPr>
        <w:t xml:space="preserve"> </w:t>
      </w:r>
      <w:r>
        <w:fldChar w:fldCharType="begin"/>
      </w:r>
      <w:r>
        <w:rPr/>
        <w:instrText> HYPERLINK "http://refhub.elsevier.com/S0308-597X(23)00211-7/sbref16" </w:instrText>
      </w:r>
      <w:r>
        <w:fldChar w:fldCharType="separate"/>
      </w:r>
      <w:r>
        <w:rPr>
          <w:rStyle w:val="CharStyle3"/>
          <w:color w:val="2196D1"/>
        </w:rPr>
        <w:t xml:space="preserve">Ann. Zool. Fenn. 17 (1980)</w:t>
      </w:r>
      <w:r>
        <w:rPr>
          <w:rStyle w:val="CharStyle3"/>
          <w:color w:val="2196D1"/>
          <w:sz w:val="11"/>
        </w:rPr>
      </w:r>
      <w:r>
        <w:rPr>
          <w:rStyle w:val="CharStyle3"/>
          <w:color w:val="2196D1"/>
        </w:rPr>
        <w:t>147-158</w:t>
      </w:r>
      <w:r>
        <w:fldChar w:fldCharType="end"/>
      </w:r>
      <w:r>
        <w:rPr>
          <w:rStyle w:val="CharStyle3"/>
        </w:rPr>
        <w:t>.</w:t>
      </w:r>
      <w:bookmarkEnd w:id="91"/>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"http://refhub.elsevier.com/S0308-597X(23)00211-7/sbref17" </w:instrText>
      </w:r>
      <w:r>
        <w:fldChar w:fldCharType="separate"/>
      </w:r>
      <w:bookmarkStart w:id="92" w:name="bookmark92"/>
      <w:r>
        <w:rPr>
          <w:rStyle w:val="CharStyle3"/>
          <w:color w:val="2196D1"/>
        </w:rPr>
        <w:t xml:space="preserve">M. Hemmingsson, A. Fj</w:t>
      </w:r>
      <w:r>
        <w:rPr>
          <w:rStyle w:val="CharStyle3"/>
          <w:color w:val="2196D1"/>
          <w:sz w:val="11"/>
        </w:rPr>
        <w:t xml:space="preserve"> ̈</w:t>
      </w:r>
      <w:r>
        <w:rPr>
          <w:rStyle w:val="CharStyle3"/>
          <w:color w:val="2196D1"/>
        </w:rPr>
        <w:t xml:space="preserve">alling, S.-G. Lunneryd, The pontoon trap: description and</w:t>
      </w:r>
      <w:r>
        <w:fldChar w:fldCharType="end"/>
      </w:r>
      <w:r>
        <w:rPr>
          <w:rStyle w:val="CharStyle3"/>
          <w:color w:val="2196D1"/>
        </w:rPr>
        <w:t xml:space="preserve"> </w:t>
      </w:r>
      <w:r>
        <w:fldChar w:fldCharType="begin"/>
      </w:r>
      <w:r>
        <w:rPr/>
        <w:instrText> HYPERLINK "http://refhub.elsevier.com/S0308-597X(23)00211-7/sbref17" </w:instrText>
      </w:r>
      <w:r>
        <w:fldChar w:fldCharType="separate"/>
      </w:r>
      <w:r>
        <w:rPr>
          <w:rStyle w:val="CharStyle3"/>
          <w:color w:val="2196D1"/>
        </w:rPr>
        <w:t xml:space="preserve">function of a seal-safe trap-net, Tech. Note Fish. RES. 93 (2008)</w:t>
      </w:r>
      <w:r>
        <w:rPr>
          <w:rStyle w:val="CharStyle3"/>
          <w:color w:val="2196D1"/>
          <w:sz w:val="11"/>
        </w:rPr>
      </w:r>
      <w:r>
        <w:rPr>
          <w:rStyle w:val="CharStyle3"/>
          <w:color w:val="2196D1"/>
        </w:rPr>
        <w:t>357-359</w:t>
      </w:r>
      <w:r>
        <w:fldChar w:fldCharType="end"/>
      </w:r>
      <w:r>
        <w:rPr>
          <w:rStyle w:val="CharStyle3"/>
        </w:rPr>
        <w:t>.</w:t>
      </w:r>
      <w:bookmarkEnd w:id="92"/>
    </w:p>
    <w:p>
      <w:pPr>
        <w:pStyle w:val="Style2"/>
        <w:keepNext w:val="0"/>
        <w:keepLines w:val="0"/>
        <w:widowControl w:val="0"/>
        <w:numPr>
          <w:ilvl w:val="0"/>
          <w:numId w:val="9"/>
        </w:numPr>
        <w:shd w:val="clear" w:color="auto" w:fill="auto"/>
        <w:tabs>
          <w:tab w:pos="356" w:val="left"/>
        </w:tabs>
        <w:spacing w:before="0" w:after="0"/>
        <w:ind w:right="0"/>
        <w:jc w:val="left"/>
      </w:pPr>
      <w:bookmarkStart w:id="93" w:name="bookmark93"/>
      <w:r>
        <w:rPr>
          <w:rStyle w:val="CharStyle3"/>
        </w:rPr>
        <w:t xml:space="preserve">ICES, Workshop on fisheries Emergency Measures to minimum bycatch of short- considered common dolphins in the Bay of Biscay and harbour porpoise in the Baltic Sea (WKEMBYC), ICES Sci. Rep. 2 (43) (2020) 354, </w:t>
      </w:r>
      <w:r>
        <w:fldChar w:fldCharType="begin"/>
      </w:r>
      <w:r>
        <w:rPr/>
        <w:instrText> HYPERLINK "https://doi.org/10.17895/ices.pub.7472" </w:instrText>
      </w:r>
      <w:r>
        <w:fldChar w:fldCharType="separate"/>
      </w:r>
      <w:r>
        <w:rPr>
          <w:rStyle w:val="CharStyle3"/>
          <w:color w:val="2196D1"/>
        </w:rPr>
        <w:t>https://doi.org/10.17895/ices.</w:t>
      </w:r>
      <w:r>
        <w:fldChar w:fldCharType="end"/>
      </w:r>
      <w:r>
        <w:rPr>
          <w:rStyle w:val="CharStyle3"/>
          <w:color w:val="2196D1"/>
        </w:rPr>
        <w:t xml:space="preserve"> </w:t>
      </w:r>
      <w:r>
        <w:fldChar w:fldCharType="begin"/>
      </w:r>
      <w:r>
        <w:rPr/>
        <w:instrText> HYPERLINK "https://doi.org/10.17895/ices.pub.7472" </w:instrText>
      </w:r>
      <w:r>
        <w:fldChar w:fldCharType="separate"/>
      </w:r>
      <w:r>
        <w:rPr>
          <w:rStyle w:val="CharStyle3"/>
          <w:color w:val="2196D1"/>
        </w:rPr>
        <w:t>pub.7472</w:t>
      </w:r>
      <w:r>
        <w:fldChar w:fldCharType="end"/>
      </w:r>
      <w:r>
        <w:rPr>
          <w:rStyle w:val="CharStyle3"/>
        </w:rPr>
        <w:t>.</w:t>
      </w:r>
      <w:bookmarkEnd w:id="93"/>
    </w:p>
    <w:p>
      <w:pPr>
        <w:pStyle w:val="Style2"/>
        <w:keepNext w:val="0"/>
        <w:keepLines w:val="0"/>
        <w:widowControl w:val="0"/>
        <w:numPr>
          <w:ilvl w:val="0"/>
          <w:numId w:val="9"/>
        </w:numPr>
        <w:shd w:val="clear" w:color="auto" w:fill="auto"/>
        <w:tabs>
          <w:tab w:pos="356" w:val="left"/>
        </w:tabs>
        <w:spacing w:before="0" w:after="0"/>
        <w:ind w:right="0"/>
        <w:jc w:val="left"/>
      </w:pPr>
      <w:bookmarkStart w:id="94" w:name="bookmark94"/>
      <w:r>
        <w:rPr>
          <w:rStyle w:val="CharStyle3"/>
        </w:rPr>
        <w:t xml:space="preserve">M. Johansson, Å. Waldo, Local people</w:t>
      </w:r>
      <w:r>
        <w:rPr>
          <w:rStyle w:val="CharStyle3"/>
          <w:sz w:val="11"/>
        </w:rPr>
        <w:t>’s</w:t>
      </w:r>
      <w:r>
        <w:rPr>
          <w:rStyle w:val="CharStyle3"/>
        </w:rPr>
        <w:t xml:space="preserve">appraisal of the fishery seal situation in traditional fishing villages on the Baltic Sea Coast in Southeast Sweden, Soc. NAT. Travel. 34 (3) (2021)</w:t>
      </w:r>
      <w:r>
        <w:rPr>
          <w:rStyle w:val="CharStyle3"/>
          <w:sz w:val="11"/>
        </w:rPr>
        <w:t>271-290</w:t>
      </w:r>
      <w:r>
        <w:rPr>
          <w:rStyle w:val="CharStyle3"/>
        </w:rPr>
        <w:t xml:space="preserve">, </w:t>
      </w:r>
      <w:r>
        <w:fldChar w:fldCharType="begin"/>
      </w:r>
      <w:r>
        <w:rPr/>
        <w:instrText> HYPERLINK "https://doi.org/10.1080/08941920.2020.1809756" </w:instrText>
      </w:r>
      <w:r>
        <w:fldChar w:fldCharType="separate"/>
      </w:r>
      <w:r>
        <w:rPr>
          <w:rStyle w:val="CharStyle3"/>
          <w:color w:val="2196D1"/>
        </w:rPr>
        <w:t>https://doi.org/10.1080/</w:t>
      </w:r>
      <w:r>
        <w:fldChar w:fldCharType="end"/>
      </w:r>
      <w:r>
        <w:rPr>
          <w:rStyle w:val="CharStyle3"/>
          <w:color w:val="2196D1"/>
        </w:rPr>
        <w:t xml:space="preserve"> </w:t>
      </w:r>
      <w:r>
        <w:fldChar w:fldCharType="begin"/>
      </w:r>
      <w:r>
        <w:rPr/>
        <w:instrText> HYPERLINK "https://doi.org/10.1080/08941920.2020.1809756" </w:instrText>
      </w:r>
      <w:r>
        <w:fldChar w:fldCharType="separate"/>
      </w:r>
      <w:r>
        <w:rPr>
          <w:rStyle w:val="CharStyle3"/>
          <w:color w:val="2196D1"/>
        </w:rPr>
        <w:t>08941920.2020.1809756</w:t>
      </w:r>
      <w:r>
        <w:fldChar w:fldCharType="end"/>
      </w:r>
      <w:r>
        <w:rPr>
          <w:rStyle w:val="CharStyle3"/>
        </w:rPr>
        <w:t>.</w:t>
      </w:r>
      <w:bookmarkEnd w:id="94"/>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"http://refhub.elsevier.com/S0308-597X(23)00211-7/sbref20" </w:instrText>
      </w:r>
      <w:r>
        <w:fldChar w:fldCharType="separate"/>
      </w:r>
      <w:bookmarkStart w:id="95" w:name="bookmark95"/>
      <w:r>
        <w:rPr>
          <w:rStyle w:val="CharStyle3"/>
          <w:color w:val="2196D1"/>
        </w:rPr>
        <w:t xml:space="preserve">M. Jüssi, T. H</w:t>
      </w:r>
      <w:r>
        <w:rPr>
          <w:rStyle w:val="CharStyle3"/>
          <w:color w:val="2196D1"/>
          <w:sz w:val="11"/>
        </w:rPr>
        <w:t xml:space="preserve"> ̈</w:t>
      </w:r>
      <w:r>
        <w:rPr>
          <w:rStyle w:val="CharStyle3"/>
          <w:color w:val="2196D1"/>
        </w:rPr>
        <w:t>ark</w:t>
      </w:r>
      <w:r>
        <w:rPr>
          <w:rStyle w:val="CharStyle3"/>
          <w:color w:val="2196D1"/>
          <w:sz w:val="11"/>
        </w:rPr>
        <w:t xml:space="preserve"> ̈</w:t>
      </w:r>
      <w:r>
        <w:rPr>
          <w:rStyle w:val="CharStyle3"/>
          <w:color w:val="2196D1"/>
        </w:rPr>
        <w:t xml:space="preserve">onen, I. Jüssi, E. Helle, Decreasing ice coverage will reduce</w:t>
      </w:r>
      <w:r>
        <w:fldChar w:fldCharType="end"/>
      </w:r>
      <w:r>
        <w:rPr>
          <w:rStyle w:val="CharStyle3"/>
          <w:color w:val="2196D1"/>
        </w:rPr>
        <w:t xml:space="preserve"> </w:t>
      </w:r>
      <w:r>
        <w:fldChar w:fldCharType="begin"/>
      </w:r>
      <w:r>
        <w:rPr/>
        <w:instrText> HYPERLINK "http://refhub.elsevier.com/S0308-597X(23)00211-7/sbref20" </w:instrText>
      </w:r>
      <w:r>
        <w:fldChar w:fldCharType="separate"/>
      </w:r>
      <w:r>
        <w:rPr>
          <w:rStyle w:val="CharStyle3"/>
          <w:color w:val="2196D1"/>
        </w:rPr>
        <w:t xml:space="preserve">the reproductive success of Baltic grey seal (</w:t>
      </w:r>
      <w:r>
        <w:rPr>
          <w:rStyle w:val="CharStyle3"/>
          <w:i/>
          <w:color w:val="2196D1"/>
        </w:rPr>
        <w:t xml:space="preserve">Halichoerus grypus</w:t>
      </w:r>
      <w:r>
        <w:rPr>
          <w:rStyle w:val="CharStyle3"/>
          <w:color w:val="2196D1"/>
        </w:rPr>
        <w:t xml:space="preserve">) females,</w:t>
      </w:r>
      <w:r>
        <w:fldChar w:fldCharType="end"/>
      </w:r>
      <w:r>
        <w:rPr>
          <w:rStyle w:val="CharStyle3"/>
          <w:color w:val="2196D1"/>
        </w:rPr>
        <w:t xml:space="preserve"> </w:t>
      </w:r>
      <w:r>
        <w:fldChar w:fldCharType="begin"/>
      </w:r>
      <w:r>
        <w:rPr/>
        <w:instrText> HYPERLINK "http://refhub.elsevier.com/S0308-597X(23)00211-7/sbref20" </w:instrText>
      </w:r>
      <w:r>
        <w:fldChar w:fldCharType="separate"/>
      </w:r>
      <w:r>
        <w:rPr>
          <w:rStyle w:val="CharStyle3"/>
          <w:color w:val="2196D1"/>
        </w:rPr>
        <w:t xml:space="preserve">Ambio 37 (2008)</w:t>
      </w:r>
      <w:r>
        <w:rPr>
          <w:rStyle w:val="CharStyle3"/>
          <w:color w:val="2196D1"/>
          <w:sz w:val="11"/>
        </w:rPr>
      </w:r>
      <w:r>
        <w:rPr>
          <w:rStyle w:val="CharStyle3"/>
          <w:color w:val="2196D1"/>
        </w:rPr>
        <w:t>80-85</w:t>
      </w:r>
      <w:r>
        <w:fldChar w:fldCharType="end"/>
      </w:r>
      <w:r>
        <w:rPr>
          <w:rStyle w:val="CharStyle3"/>
        </w:rPr>
        <w:t>.</w:t>
      </w:r>
      <w:bookmarkEnd w:id="95"/>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"http://refhub.elsevier.com/S0308-597X(23)00211-7/sbref21" </w:instrText>
      </w:r>
      <w:r>
        <w:fldChar w:fldCharType="separate"/>
      </w:r>
      <w:bookmarkStart w:id="96" w:name="bookmark96"/>
      <w:r>
        <w:rPr>
          <w:rStyle w:val="CharStyle3"/>
          <w:color w:val="2196D1"/>
        </w:rPr>
        <w:t xml:space="preserve">K. Kauhala, M.P. Ahola, M. Kunnasranta, declines in the reflection rate</w:t>
      </w:r>
      <w:r>
        <w:fldChar w:fldCharType="end"/>
      </w:r>
      <w:r>
        <w:rPr>
          <w:rStyle w:val="CharStyle3"/>
          <w:color w:val="2196D1"/>
        </w:rPr>
        <w:t xml:space="preserve"> </w:t>
      </w:r>
      <w:r>
        <w:fldChar w:fldCharType="begin"/>
      </w:r>
      <w:r>
        <w:rPr/>
        <w:instrText> HYPERLINK "http://refhub.elsevier.com/S0308-597X(23)00211-7/sbref21" </w:instrText>
      </w:r>
      <w:r>
        <w:fldChar w:fldCharType="separate"/>
      </w:r>
      <w:r>
        <w:rPr>
          <w:rStyle w:val="CharStyle3"/>
          <w:color w:val="2196D1"/>
        </w:rPr>
        <w:t xml:space="preserve">of Baltic grey seal females during the 2000s, Annales Zoologici Fennici 51 (</w:t>
      </w:r>
      <w:r>
        <w:fldChar w:fldCharType="end"/>
      </w:r>
      <w:r>
        <w:rPr>
          <w:rStyle w:val="CharStyle3"/>
          <w:color w:val="2196D1"/>
        </w:rPr>
        <w:t xml:space="preserve"> </w:t>
      </w:r>
      <w:r>
        <w:fldChar w:fldCharType="begin"/>
      </w:r>
      <w:r>
        <w:rPr/>
        <w:instrText> HYPERLINK "http://refhub.elsevier.com/S0308-597X(23)00211-7/sbref21" </w:instrText>
      </w:r>
      <w:r>
        <w:fldChar w:fldCharType="separate"/>
      </w:r>
      <w:r>
        <w:rPr>
          <w:rStyle w:val="CharStyle3"/>
          <w:color w:val="2196D1"/>
        </w:rPr>
        <w:t>3)</w:t>
      </w:r>
      <w:r>
        <w:rPr>
          <w:rStyle w:val="CharStyle3"/>
          <w:color w:val="2196D1"/>
          <w:sz w:val="11"/>
        </w:rPr>
      </w:r>
      <w:r>
        <w:rPr>
          <w:rStyle w:val="CharStyle3"/>
          <w:color w:val="2196D1"/>
        </w:rPr>
        <w:t>313-324</w:t>
      </w:r>
      <w:r>
        <w:fldChar w:fldCharType="end"/>
      </w:r>
      <w:r>
        <w:rPr>
          <w:rStyle w:val="CharStyle3"/>
        </w:rPr>
        <w:t>.</w:t>
      </w:r>
      <w:bookmarkEnd w:id="96"/>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"http://refhub.elsevier.com/S0308-597X(23)00211-7/sbref22" </w:instrText>
      </w:r>
      <w:r>
        <w:fldChar w:fldCharType="separate"/>
      </w:r>
      <w:bookmarkStart w:id="97" w:name="bookmark97"/>
      <w:r>
        <w:rPr>
          <w:rStyle w:val="CharStyle3"/>
          <w:color w:val="2196D1"/>
        </w:rPr>
        <w:t xml:space="preserve">K. Kauhala, B.-M. B</w:t>
      </w:r>
      <w:r>
        <w:rPr>
          <w:rStyle w:val="CharStyle3"/>
          <w:color w:val="2196D1"/>
          <w:sz w:val="11"/>
        </w:rPr>
        <w:t xml:space="preserve"> ̈</w:t>
      </w:r>
      <w:r>
        <w:rPr>
          <w:rStyle w:val="CharStyle3"/>
          <w:color w:val="2196D1"/>
        </w:rPr>
        <w:t xml:space="preserve">acklin, J. Raitaniemi, K.C. Harding, The effect of prey</w:t>
      </w:r>
      <w:r>
        <w:fldChar w:fldCharType="end"/>
      </w:r>
      <w:r>
        <w:rPr>
          <w:rStyle w:val="CharStyle3"/>
          <w:color w:val="2196D1"/>
        </w:rPr>
        <w:t xml:space="preserve"> </w:t>
      </w:r>
      <w:r>
        <w:fldChar w:fldCharType="begin"/>
      </w:r>
      <w:r>
        <w:rPr/>
        <w:instrText> HYPERLINK "http://refhub.elsevier.com/S0308-597X(23)00211-7/sbref22" </w:instrText>
      </w:r>
      <w:r>
        <w:fldChar w:fldCharType="separate"/>
      </w:r>
      <w:r>
        <w:rPr>
          <w:rStyle w:val="CharStyle3"/>
          <w:color w:val="2196D1"/>
        </w:rPr>
        <w:t xml:space="preserve">quality and ice conditions on the nutritional status of Baltic gray seals of</w:t>
      </w:r>
      <w:r>
        <w:fldChar w:fldCharType="end"/>
      </w:r>
      <w:r>
        <w:rPr>
          <w:rStyle w:val="CharStyle3"/>
          <w:color w:val="2196D1"/>
        </w:rPr>
        <w:t xml:space="preserve"> </w:t>
      </w:r>
      <w:r>
        <w:fldChar w:fldCharType="begin"/>
      </w:r>
      <w:r>
        <w:rPr/>
        <w:instrText> HYPERLINK "http://refhub.elsevier.com/S0308-597X(23)00211-7/sbref22" </w:instrText>
      </w:r>
      <w:r>
        <w:fldChar w:fldCharType="separate"/>
      </w:r>
      <w:r>
        <w:rPr>
          <w:rStyle w:val="CharStyle3"/>
          <w:color w:val="2196D1"/>
        </w:rPr>
        <w:t xml:space="preserve">different age groups, Mammal research 62 (2017)</w:t>
      </w:r>
      <w:r>
        <w:rPr>
          <w:rStyle w:val="CharStyle3"/>
          <w:color w:val="2196D1"/>
          <w:sz w:val="11"/>
        </w:rPr>
      </w:r>
      <w:r>
        <w:rPr>
          <w:rStyle w:val="CharStyle3"/>
          <w:color w:val="2196D1"/>
        </w:rPr>
        <w:t>351-362</w:t>
      </w:r>
      <w:r>
        <w:fldChar w:fldCharType="end"/>
      </w:r>
      <w:r>
        <w:rPr>
          <w:rStyle w:val="CharStyle3"/>
        </w:rPr>
        <w:t>.</w:t>
      </w:r>
      <w:bookmarkEnd w:id="97"/>
    </w:p>
    <w:p>
      <w:pPr>
        <w:pStyle w:val="Style2"/>
        <w:keepNext w:val="0"/>
        <w:keepLines w:val="0"/>
        <w:widowControl w:val="0"/>
        <w:numPr>
          <w:ilvl w:val="0"/>
          <w:numId w:val="9"/>
        </w:numPr>
        <w:shd w:val="clear" w:color="auto" w:fill="auto"/>
        <w:tabs>
          <w:tab w:pos="356" w:val="left"/>
        </w:tabs>
        <w:spacing w:before="0" w:after="0"/>
        <w:ind w:right="0"/>
        <w:jc w:val="left"/>
      </w:pPr>
      <w:bookmarkStart w:id="98" w:name="bookmark98"/>
      <w:r>
        <w:rPr>
          <w:rStyle w:val="CharStyle3"/>
        </w:rPr>
        <w:t xml:space="preserve">K. Kauhala, S. Korpinen, M. Lehtiniemi, J. Raitaniemi, Reproductive rate of a top predator, the grey seal, as an indicator of the changes in the Baltic food web, Ecol. INDIC. 102 (2019)</w:t>
      </w:r>
      <w:r>
        <w:rPr>
          <w:rStyle w:val="CharStyle3"/>
          <w:sz w:val="11"/>
        </w:rPr>
        <w:t>693-703</w:t>
      </w:r>
      <w:r>
        <w:rPr>
          <w:rStyle w:val="CharStyle3"/>
        </w:rPr>
        <w:t xml:space="preserve">, </w:t>
      </w:r>
      <w:r>
        <w:fldChar w:fldCharType="begin"/>
      </w:r>
      <w:r>
        <w:rPr/>
        <w:instrText> HYPERLINK "https://doi.org/10.1016/j.ecolind.2019.03.022" </w:instrText>
      </w:r>
      <w:r>
        <w:fldChar w:fldCharType="separate"/>
      </w:r>
      <w:r>
        <w:rPr>
          <w:rStyle w:val="CharStyle3"/>
          <w:color w:val="2196D1"/>
        </w:rPr>
        <w:t>https://doi.org/10.1016/j.ecolind.2019.03.022</w:t>
      </w:r>
      <w:r>
        <w:fldChar w:fldCharType="end"/>
      </w:r>
      <w:r>
        <w:rPr>
          <w:rStyle w:val="CharStyle3"/>
        </w:rPr>
        <w:t>.</w:t>
      </w:r>
      <w:bookmarkEnd w:id="98"/>
    </w:p>
    <w:p>
      <w:pPr>
        <w:pStyle w:val="Style2"/>
        <w:keepNext w:val="0"/>
        <w:keepLines w:val="0"/>
        <w:widowControl w:val="0"/>
        <w:numPr>
          <w:ilvl w:val="0"/>
          <w:numId w:val="9"/>
        </w:numPr>
        <w:shd w:val="clear" w:color="auto" w:fill="auto"/>
        <w:tabs>
          <w:tab w:pos="356" w:val="left"/>
        </w:tabs>
        <w:spacing w:before="0" w:after="0"/>
        <w:ind w:right="0"/>
        <w:jc w:val="left"/>
      </w:pPr>
      <w:bookmarkStart w:id="99" w:name="bookmark99"/>
      <w:r>
        <w:rPr>
          <w:rStyle w:val="CharStyle3"/>
        </w:rPr>
        <w:t xml:space="preserve">K. Kauhala, M. Kurkilahti, M.P. Ahola, A. Herrero, O. Karlsson, M. Kunnasranta, R. Tiilikainen, M. Vetemaa, Age, sex and body condition of Baltic grey seals: are problems a random sample of the population? Ann. Zool. Fenn. 52 (2015)</w:t>
      </w:r>
      <w:r>
        <w:rPr>
          <w:rStyle w:val="CharStyle3"/>
          <w:sz w:val="11"/>
        </w:rPr>
        <w:t>103-114</w:t>
      </w:r>
      <w:r>
        <w:rPr>
          <w:rStyle w:val="CharStyle3"/>
        </w:rPr>
        <w:t xml:space="preserve">, </w:t>
      </w:r>
      <w:r>
        <w:fldChar w:fldCharType="begin"/>
      </w:r>
      <w:r>
        <w:rPr/>
        <w:instrText> HYPERLINK "https://doi.org/10.5735/086.052.0209" </w:instrText>
      </w:r>
      <w:r>
        <w:fldChar w:fldCharType="separate"/>
      </w:r>
      <w:r>
        <w:rPr>
          <w:rStyle w:val="CharStyle3"/>
          <w:color w:val="2196D1"/>
        </w:rPr>
        <w:t>https://doi.org/10.5735/086.052.0209</w:t>
      </w:r>
      <w:r>
        <w:fldChar w:fldCharType="end"/>
      </w:r>
      <w:r>
        <w:rPr>
          <w:rStyle w:val="CharStyle3"/>
        </w:rPr>
        <w:t>.</w:t>
      </w:r>
      <w:bookmarkEnd w:id="99"/>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"http://refhub.elsevier.com/S0308-597X(23)00211-7/sbref25" </w:instrText>
      </w:r>
      <w:r>
        <w:fldChar w:fldCharType="separate"/>
      </w:r>
      <w:bookmarkStart w:id="100" w:name="bookmark100"/>
      <w:r>
        <w:rPr>
          <w:rStyle w:val="CharStyle3"/>
          <w:color w:val="2196D1"/>
        </w:rPr>
        <w:t xml:space="preserve">T. Kauppinen, A. Siira, P. Suuronen, Temporal and regional patterns in seal-</w:t>
      </w:r>
      <w:r>
        <w:fldChar w:fldCharType="end"/>
      </w:r>
      <w:r>
        <w:rPr>
          <w:rStyle w:val="CharStyle3"/>
          <w:color w:val="2196D1"/>
        </w:rPr>
        <w:t xml:space="preserve"> </w:t>
      </w:r>
      <w:r>
        <w:fldChar w:fldCharType="begin"/>
      </w:r>
      <w:r>
        <w:rPr/>
        <w:instrText> HYPERLINK "http://refhub.elsevier.com/S0308-597X(23)00211-7/sbref25" </w:instrText>
      </w:r>
      <w:r>
        <w:fldChar w:fldCharType="separate"/>
      </w:r>
      <w:r>
        <w:rPr>
          <w:rStyle w:val="CharStyle3"/>
          <w:color w:val="2196D1"/>
        </w:rPr>
        <w:t xml:space="preserve">induced catch and gear damage in the coastal trap-net fishery in the northern Baltic</w:t>
      </w:r>
      <w:r>
        <w:fldChar w:fldCharType="end"/>
      </w:r>
      <w:r>
        <w:rPr>
          <w:rStyle w:val="CharStyle3"/>
          <w:color w:val="2196D1"/>
        </w:rPr>
        <w:t xml:space="preserve"> </w:t>
      </w:r>
      <w:r>
        <w:fldChar w:fldCharType="begin"/>
      </w:r>
      <w:r>
        <w:rPr/>
        <w:instrText> HYPERLINK "http://refhub.elsevier.com/S0308-597X(23)00211-7/sbref25" </w:instrText>
      </w:r>
      <w:r>
        <w:fldChar w:fldCharType="separate"/>
      </w:r>
      <w:r>
        <w:rPr>
          <w:rStyle w:val="CharStyle3"/>
          <w:color w:val="2196D1"/>
        </w:rPr>
        <w:t xml:space="preserve">Sea: effect of netting material on dust, Fish. RES. 73 (2005)</w:t>
      </w:r>
      <w:r>
        <w:rPr>
          <w:rStyle w:val="CharStyle3"/>
          <w:color w:val="2196D1"/>
          <w:sz w:val="11"/>
        </w:rPr>
      </w:r>
      <w:r>
        <w:rPr>
          <w:rStyle w:val="CharStyle3"/>
          <w:color w:val="2196D1"/>
        </w:rPr>
        <w:t>99-109</w:t>
      </w:r>
      <w:r>
        <w:fldChar w:fldCharType="end"/>
      </w:r>
      <w:r>
        <w:rPr>
          <w:rStyle w:val="CharStyle3"/>
        </w:rPr>
        <w:t>.</w:t>
      </w:r>
      <w:bookmarkEnd w:id="100"/>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"http://refhub.elsevier.com/S0308-597X(23)00211-7/sbref26" </w:instrText>
      </w:r>
      <w:r>
        <w:fldChar w:fldCharType="separate"/>
      </w:r>
      <w:bookmarkStart w:id="101" w:name="bookmark101"/>
      <w:r>
        <w:rPr>
          <w:rStyle w:val="CharStyle3"/>
          <w:color w:val="2196D1"/>
        </w:rPr>
        <w:t xml:space="preserve">H. Kokko, E.J. Helle, E. Ranta, T. Sipil</w:t>
      </w:r>
      <w:r>
        <w:rPr>
          <w:rStyle w:val="CharStyle3"/>
          <w:color w:val="2196D1"/>
          <w:sz w:val="11"/>
        </w:rPr>
        <w:t xml:space="preserve"> ̈</w:t>
      </w:r>
      <w:r>
        <w:rPr>
          <w:rStyle w:val="CharStyle3"/>
          <w:color w:val="2196D1"/>
        </w:rPr>
        <w:t xml:space="preserve">a, Backcasting population sizes of ringed and</w:t>
      </w:r>
      <w:r>
        <w:fldChar w:fldCharType="end"/>
      </w:r>
      <w:r>
        <w:rPr>
          <w:rStyle w:val="CharStyle3"/>
          <w:color w:val="2196D1"/>
        </w:rPr>
        <w:t xml:space="preserve"> </w:t>
      </w:r>
      <w:r>
        <w:fldChar w:fldCharType="begin"/>
      </w:r>
      <w:r>
        <w:rPr/>
        <w:instrText> HYPERLINK "http://refhub.elsevier.com/S0308-597X(23)00211-7/sbref26" </w:instrText>
      </w:r>
      <w:r>
        <w:fldChar w:fldCharType="separate"/>
      </w:r>
      <w:r>
        <w:rPr>
          <w:rStyle w:val="CharStyle3"/>
          <w:color w:val="2196D1"/>
        </w:rPr>
        <w:t xml:space="preserve">grey seals in the Baltic and Lake Saimaa during the 20th century, Ann. Zool. Fenn.</w:t>
      </w:r>
      <w:r>
        <w:fldChar w:fldCharType="end"/>
      </w:r>
      <w:r>
        <w:rPr>
          <w:rStyle w:val="CharStyle3"/>
          <w:color w:val="2196D1"/>
        </w:rPr>
        <w:t xml:space="preserve"> </w:t>
      </w:r>
      <w:r>
        <w:fldChar w:fldCharType="begin"/>
      </w:r>
      <w:r>
        <w:rPr/>
        <w:instrText> HYPERLINK "http://refhub.elsevier.com/S0308-597X(23)00211-7/sbref26" </w:instrText>
      </w:r>
      <w:r>
        <w:fldChar w:fldCharType="separate"/>
      </w:r>
      <w:r>
        <w:rPr>
          <w:rStyle w:val="CharStyle3"/>
          <w:color w:val="2196D1"/>
        </w:rPr>
        <w:t xml:space="preserve">36 (1999)</w:t>
      </w:r>
      <w:r>
        <w:rPr>
          <w:rStyle w:val="CharStyle3"/>
          <w:color w:val="2196D1"/>
          <w:sz w:val="11"/>
        </w:rPr>
      </w:r>
      <w:r>
        <w:rPr>
          <w:rStyle w:val="CharStyle3"/>
          <w:color w:val="2196D1"/>
        </w:rPr>
        <w:t>65-73</w:t>
      </w:r>
      <w:r>
        <w:fldChar w:fldCharType="end"/>
      </w:r>
      <w:r>
        <w:rPr>
          <w:rStyle w:val="CharStyle3"/>
        </w:rPr>
        <w:t>.</w:t>
      </w:r>
      <w:bookmarkEnd w:id="101"/>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"http://refhub.elsevier.com/S0308-597X(23)00211-7/sbref27" </w:instrText>
      </w:r>
      <w:r>
        <w:fldChar w:fldCharType="separate"/>
      </w:r>
      <w:r>
        <w:rPr>
          <w:rStyle w:val="CharStyle3"/>
          <w:color w:val="2196D1"/>
        </w:rPr>
        <w:t xml:space="preserve">S. K</w:t>
      </w:r>
      <w:r>
        <w:rPr>
          <w:rStyle w:val="CharStyle3"/>
          <w:color w:val="2196D1"/>
          <w:sz w:val="11"/>
        </w:rPr>
        <w:t xml:space="preserve"> ̈</w:t>
      </w:r>
      <w:r>
        <w:rPr>
          <w:rStyle w:val="CharStyle3"/>
          <w:color w:val="2196D1"/>
        </w:rPr>
        <w:t xml:space="preserve">onigson, A. Fj</w:t>
      </w:r>
      <w:r>
        <w:rPr>
          <w:rStyle w:val="CharStyle3"/>
          <w:color w:val="2196D1"/>
          <w:sz w:val="11"/>
        </w:rPr>
        <w:t xml:space="preserve"> ̈</w:t>
      </w:r>
      <w:r>
        <w:rPr>
          <w:rStyle w:val="CharStyle3"/>
          <w:color w:val="2196D1"/>
        </w:rPr>
        <w:t xml:space="preserve">alling, S.-G. Lunneryd, Grey seal induced catch losses in the</w:t>
      </w:r>
      <w:r>
        <w:fldChar w:fldCharType="end"/>
      </w:r>
      <w:r>
        <w:rPr>
          <w:rStyle w:val="CharStyle3"/>
          <w:color w:val="2196D1"/>
        </w:rPr>
        <w:t xml:space="preserve"> </w:t>
      </w:r>
      <w:r>
        <w:fldChar w:fldCharType="begin"/>
      </w:r>
      <w:r>
        <w:rPr/>
        <w:instrText> HYPERLINK "http://refhub.elsevier.com/S0308-597X(23)00211-7/sbref27" </w:instrText>
      </w:r>
      <w:r>
        <w:fldChar w:fldCharType="separate"/>
      </w:r>
      <w:r>
        <w:rPr>
          <w:rStyle w:val="CharStyle3"/>
          <w:color w:val="2196D1"/>
        </w:rPr>
        <w:t xml:space="preserve">herring gillnet fishery in the northern Baltic, NAMMCO Sci. Publ. 6 (2007</w:t>
      </w:r>
      <w:r>
        <w:fldChar w:fldCharType="end"/>
      </w:r>
      <w:r>
        <w:fldChar w:fldCharType="begin"/>
      </w:r>
      <w:r>
        <w:rPr/>
        <w:instrText> HYPERLINK "http://refhub.elsevier.com/S0308-597X(23)00211-7/sbref27" </w:instrText>
      </w:r>
      <w:r>
        <w:fldChar w:fldCharType="separate"/>
      </w:r>
      <w:r>
        <w:rPr>
          <w:rStyle w:val="CharStyle3"/>
          <w:color w:val="2196D1"/>
        </w:rPr>
        <w:t>)</w:t>
      </w:r>
      <w:r>
        <w:rPr>
          <w:rStyle w:val="CharStyle3"/>
          <w:color w:val="2196D1"/>
          <w:sz w:val="11"/>
        </w:rPr>
      </w:r>
      <w:r>
        <w:rPr>
          <w:rStyle w:val="CharStyle3"/>
          <w:color w:val="2196D1"/>
        </w:rPr>
        <w:t>203-213</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rPr>
          <w:rStyle w:val="CharStyle3"/>
        </w:rPr>
        <w:t xml:space="preserve">S. K</w:t>
      </w:r>
      <w:r>
        <w:rPr>
          <w:rStyle w:val="CharStyle3"/>
          <w:sz w:val="11"/>
        </w:rPr>
        <w:t xml:space="preserve"> ̈</w:t>
      </w:r>
      <w:r>
        <w:rPr>
          <w:rStyle w:val="CharStyle3"/>
        </w:rPr>
        <w:t xml:space="preserve">onigson, S.-G. Lunneryd, H. Stridh, F. Sundqvist, Grey seal predation in cod gillnet fisheries in the Central Baltic Sea, J. North. ATL. Flash. SCI. 42 (2009)</w:t>
      </w:r>
      <w:r>
        <w:rPr>
          <w:rStyle w:val="CharStyle3"/>
          <w:sz w:val="11"/>
        </w:rPr>
        <w:t>41-47</w:t>
      </w:r>
      <w:r>
        <w:rPr>
          <w:rStyle w:val="CharStyle3"/>
        </w:rPr>
        <w:t xml:space="preserve">, </w:t>
      </w:r>
      <w:r>
        <w:fldChar w:fldCharType="begin"/>
      </w:r>
      <w:r>
        <w:rPr/>
        <w:instrText> HYPERLINK "https://doi.org/10.2960/J.v42.m654" </w:instrText>
      </w:r>
      <w:r>
        <w:fldChar w:fldCharType="separate"/>
      </w:r>
      <w:r>
        <w:rPr>
          <w:rStyle w:val="CharStyle3"/>
          <w:color w:val="2196D1"/>
        </w:rPr>
        <w:t>https://doi.org/10.2960/J.v42.m654</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"http://refhub.elsevier.com/S0308-597X(23)00211-7/sbref29" </w:instrText>
      </w:r>
      <w:r>
        <w:fldChar w:fldCharType="separate"/>
      </w:r>
      <w:r>
        <w:rPr>
          <w:rStyle w:val="CharStyle3"/>
          <w:color w:val="2196D1"/>
        </w:rPr>
        <w:t xml:space="preserve">S.J. Ko</w:t>
      </w:r>
      <w:r>
        <w:rPr>
          <w:rStyle w:val="CharStyle3"/>
          <w:color w:val="2196D1"/>
          <w:sz w:val="11"/>
        </w:rPr>
        <w:t xml:space="preserve"> ̈</w:t>
      </w:r>
      <w:r>
        <w:rPr>
          <w:rStyle w:val="CharStyle3"/>
          <w:color w:val="2196D1"/>
        </w:rPr>
        <w:t xml:space="preserve">nigson, R.E. Fredriksson, S.-G. Lunneryd, P. Stro</w:t>
      </w:r>
      <w:r>
        <w:rPr>
          <w:rStyle w:val="CharStyle3"/>
          <w:color w:val="2196D1"/>
          <w:sz w:val="11"/>
        </w:rPr>
        <w:t xml:space="preserve"> ̈</w:t>
      </w:r>
      <w:r>
        <w:rPr>
          <w:rStyle w:val="CharStyle3"/>
          <w:color w:val="2196D1"/>
        </w:rPr>
        <w:t xml:space="preserve">mberg, U.M. Bergstro</w:t>
      </w:r>
      <w:r>
        <w:rPr>
          <w:rStyle w:val="CharStyle3"/>
          <w:color w:val="2196D1"/>
          <w:sz w:val="11"/>
        </w:rPr>
        <w:t xml:space="preserve"> ̈</w:t>
      </w:r>
      <w:r>
        <w:rPr>
          <w:rStyle w:val="CharStyle3"/>
          <w:color w:val="2196D1"/>
        </w:rPr>
        <w:t>m,</w:t>
      </w:r>
      <w:r>
        <w:fldChar w:fldCharType="end"/>
      </w:r>
      <w:r>
        <w:rPr>
          <w:rStyle w:val="CharStyle3"/>
          <w:color w:val="2196D1"/>
        </w:rPr>
        <w:t xml:space="preserve"> </w:t>
      </w:r>
      <w:r>
        <w:fldChar w:fldCharType="begin"/>
      </w:r>
      <w:r>
        <w:rPr/>
        <w:instrText> HYPERLINK "http://refhub.elsevier.com/S0308-597X(23)00211-7/sbref29" </w:instrText>
      </w:r>
      <w:r>
        <w:fldChar w:fldCharType="separate"/>
      </w:r>
      <w:r>
        <w:rPr>
          <w:rStyle w:val="CharStyle3"/>
          <w:color w:val="2196D1"/>
        </w:rPr>
        <w:t xml:space="preserve">Cod pots in a Baltic fishery: are they efficient and what consequences their efficiency?</w:t>
      </w:r>
      <w:r>
        <w:fldChar w:fldCharType="end"/>
      </w:r>
      <w:r>
        <w:rPr>
          <w:rStyle w:val="CharStyle3"/>
          <w:color w:val="2196D1"/>
        </w:rPr>
        <w:t xml:space="preserve"> </w:t>
      </w:r>
      <w:r>
        <w:fldChar w:fldCharType="begin"/>
      </w:r>
      <w:r>
        <w:rPr/>
        <w:instrText> HYPERLINK "http://refhub.elsevier.com/S0308-597X(23)00211-7/sbref29" </w:instrText>
      </w:r>
      <w:r>
        <w:fldChar w:fldCharType="separate"/>
      </w:r>
      <w:r>
        <w:rPr>
          <w:rStyle w:val="CharStyle3"/>
          <w:color w:val="2196D1"/>
        </w:rPr>
        <w:t xml:space="preserve">ICES J. Mar. SCI. 72 (2015)</w:t>
      </w:r>
      <w:r>
        <w:rPr>
          <w:rStyle w:val="CharStyle3"/>
          <w:color w:val="2196D1"/>
          <w:sz w:val="11"/>
        </w:rPr>
      </w:r>
      <w:r>
        <w:rPr>
          <w:rStyle w:val="CharStyle3"/>
          <w:color w:val="2196D1"/>
        </w:rPr>
        <w:t>1545-1554</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"http://refhub.elsevier.com/S0308-597X(23)00211-7/sbref30" </w:instrText>
      </w:r>
      <w:r>
        <w:fldChar w:fldCharType="separate"/>
      </w:r>
      <w:r>
        <w:rPr>
          <w:rStyle w:val="CharStyle3"/>
          <w:color w:val="2196D1"/>
        </w:rPr>
        <w:t xml:space="preserve">E. Lehtonen, P. Suuronen, Live-capture of grey seals in a modified salmon trap,</w:t>
      </w:r>
      <w:r>
        <w:fldChar w:fldCharType="end"/>
      </w:r>
      <w:r>
        <w:rPr>
          <w:rStyle w:val="CharStyle3"/>
          <w:color w:val="2196D1"/>
        </w:rPr>
        <w:t xml:space="preserve"> </w:t>
      </w:r>
      <w:r>
        <w:fldChar w:fldCharType="begin"/>
      </w:r>
      <w:r>
        <w:rPr/>
        <w:instrText> HYPERLINK "http://refhub.elsevier.com/S0308-597X(23)00211-7/sbref30" </w:instrText>
      </w:r>
      <w:r>
        <w:fldChar w:fldCharType="separate"/>
      </w:r>
      <w:r>
        <w:rPr>
          <w:rStyle w:val="CharStyle3"/>
          <w:color w:val="2196D1"/>
        </w:rPr>
        <w:t xml:space="preserve">Fish. RES. 102 (2010)</w:t>
      </w:r>
      <w:r>
        <w:rPr>
          <w:rStyle w:val="CharStyle3"/>
          <w:color w:val="2196D1"/>
          <w:sz w:val="11"/>
        </w:rPr>
      </w:r>
      <w:r>
        <w:rPr>
          <w:rStyle w:val="CharStyle3"/>
          <w:color w:val="2196D1"/>
        </w:rPr>
        <w:t>214-216</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rPr>
          <w:rStyle w:val="CharStyle3"/>
        </w:rPr>
        <w:t xml:space="preserve">E. Lehtonen, R. Lehmonen, J. Kostensalo, M. Kurkilahti, P. Suuronen, Feasibility and effectiveness of seal deterrents in coastal trap-net fishing </w:t>
      </w:r>
      <w:r>
        <w:rPr>
          <w:rStyle w:val="CharStyle3"/>
          <w:sz w:val="11"/>
        </w:rPr>
        <w:t xml:space="preserve">– </w:t>
      </w:r>
      <w:r>
        <w:rPr>
          <w:rStyle w:val="CharStyle3"/>
        </w:rPr>
        <w:t xml:space="preserve">development of a novel portable Deterrent, Fish. RES. (2022), </w:t>
      </w:r>
      <w:r>
        <w:fldChar w:fldCharType="begin"/>
      </w:r>
      <w:r>
        <w:rPr/>
        <w:instrText> HYPERLINK "https://doi.org/10.1016/j.fishres.2022.106328" </w:instrText>
      </w:r>
      <w:r>
        <w:fldChar w:fldCharType="separate"/>
      </w:r>
      <w:r>
        <w:rPr>
          <w:rStyle w:val="CharStyle3"/>
          <w:color w:val="2196D1"/>
        </w:rPr>
        <w:t>https://doi.org/10.1016/j.</w:t>
      </w:r>
      <w:r>
        <w:fldChar w:fldCharType="end"/>
      </w:r>
      <w:r>
        <w:rPr>
          <w:rStyle w:val="CharStyle3"/>
          <w:color w:val="2196D1"/>
        </w:rPr>
        <w:t xml:space="preserve"> </w:t>
      </w:r>
      <w:r>
        <w:fldChar w:fldCharType="begin"/>
      </w:r>
      <w:r>
        <w:rPr/>
        <w:instrText> HYPERLINK "https://doi.org/10.1016/j.fishres.2022.106328" </w:instrText>
      </w:r>
      <w:r>
        <w:fldChar w:fldCharType="separate"/>
      </w:r>
      <w:r>
        <w:rPr>
          <w:rStyle w:val="CharStyle3"/>
          <w:color w:val="2196D1"/>
        </w:rPr>
        <w:t>fishres.2022.106328</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both"/>
      </w:pPr>
      <w:r>
        <w:rPr>
          <w:rStyle w:val="CharStyle3"/>
        </w:rPr>
        <w:t xml:space="preserve">P. Ljungberg, S. K</w:t>
      </w:r>
      <w:r>
        <w:rPr>
          <w:rStyle w:val="CharStyle3"/>
          <w:sz w:val="11"/>
        </w:rPr>
        <w:t xml:space="preserve"> ̈</w:t>
      </w:r>
      <w:r>
        <w:rPr>
          <w:rStyle w:val="CharStyle3"/>
        </w:rPr>
        <w:t xml:space="preserve">onigson, S.-G. Lunneryd, An evolution of pontoon traps for cod (Gadus morhua) fishing in the southern Baltic Sea, Front. Moar. SCI. 9 (2022), 981822, </w:t>
      </w:r>
      <w:r>
        <w:fldChar w:fldCharType="begin"/>
      </w:r>
      <w:r>
        <w:rPr/>
        <w:instrText> HYPERLINK "https://doi.org/10.3389/fmars.2022.981822" </w:instrText>
      </w:r>
      <w:r>
        <w:fldChar w:fldCharType="separate"/>
      </w:r>
      <w:r>
        <w:rPr>
          <w:rStyle w:val="CharStyle3"/>
          <w:color w:val="2196D1"/>
        </w:rPr>
        <w:t>https://doi.org/10.3389/fmars.2022.981822</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both"/>
      </w:pPr>
      <w:bookmarkStart w:id="102" w:name="bookmark102"/>
      <w:r>
        <w:rPr>
          <w:rStyle w:val="CharStyle3"/>
        </w:rPr>
        <w:t xml:space="preserve">M. LONERGAN, Potential biological removal and other currently used management rules for marine Mammal populations: a comparison, Mar. Policy 35 (2011)</w:t>
      </w:r>
      <w:r>
        <w:rPr>
          <w:rStyle w:val="CharStyle3"/>
          <w:sz w:val="11"/>
        </w:rPr>
        <w:t>584-589</w:t>
      </w:r>
      <w:r>
        <w:rPr>
          <w:rStyle w:val="CharStyle3"/>
        </w:rPr>
        <w:t xml:space="preserve">, </w:t>
      </w:r>
      <w:r>
        <w:fldChar w:fldCharType="begin"/>
      </w:r>
      <w:r>
        <w:rPr/>
        <w:instrText> HYPERLINK "https://doi.org/10.1016/j.marpol.2011.01.020" </w:instrText>
      </w:r>
      <w:r>
        <w:fldChar w:fldCharType="separate"/>
      </w:r>
      <w:r>
        <w:rPr>
          <w:rStyle w:val="CharStyle3"/>
          <w:color w:val="2196D1"/>
        </w:rPr>
        <w:t>https://doi.org/10.1016/j.marpol.2011.01.020</w:t>
      </w:r>
      <w:r>
        <w:fldChar w:fldCharType="end"/>
      </w:r>
      <w:r>
        <w:rPr>
          <w:rStyle w:val="CharStyle3"/>
        </w:rPr>
        <w:t>.</w:t>
      </w:r>
      <w:bookmarkEnd w:id="102"/>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"http://refhub.elsevier.com/S0308-597X(23)00211-7/sbref34" </w:instrText>
      </w:r>
      <w:r>
        <w:fldChar w:fldCharType="separate"/>
      </w:r>
      <w:bookmarkStart w:id="103" w:name="bookmark103"/>
      <w:r>
        <w:rPr>
          <w:rStyle w:val="CharStyle3"/>
          <w:color w:val="2196D1"/>
        </w:rPr>
        <w:t xml:space="preserve">M. LONERGAN, C.D. Duck, D. Thompson, S. Moss, B. McConnell, British Grey Seal</w:t>
      </w:r>
      <w:r>
        <w:fldChar w:fldCharType="end"/>
      </w:r>
      <w:r>
        <w:rPr>
          <w:rStyle w:val="CharStyle3"/>
          <w:color w:val="2196D1"/>
        </w:rPr>
        <w:t xml:space="preserve"> </w:t>
      </w:r>
      <w:r>
        <w:fldChar w:fldCharType="begin"/>
      </w:r>
      <w:r>
        <w:rPr/>
        <w:instrText> HYPERLINK "http://refhub.elsevier.com/S0308-597X(23)00211-7/sbref34" </w:instrText>
      </w:r>
      <w:r>
        <w:fldChar w:fldCharType="separate"/>
      </w:r>
      <w:r>
        <w:rPr>
          <w:rStyle w:val="CharStyle3"/>
          <w:color w:val="2196D1"/>
        </w:rPr>
        <w:t>(</w:t>
      </w:r>
      <w:r>
        <w:rPr>
          <w:rStyle w:val="CharStyle3"/>
          <w:i/>
          <w:color w:val="2196D1"/>
        </w:rPr>
        <w:t xml:space="preserve">Halichoerus grypus</w:t>
      </w:r>
      <w:r>
        <w:rPr>
          <w:rStyle w:val="CharStyle3"/>
          <w:color w:val="2196D1"/>
        </w:rPr>
        <w:t xml:space="preserve">) Abundance in 2008: an Assessment Based on Aerial Counts and</w:t>
      </w:r>
      <w:r>
        <w:fldChar w:fldCharType="end"/>
      </w:r>
      <w:r>
        <w:rPr>
          <w:rStyle w:val="CharStyle3"/>
          <w:color w:val="2196D1"/>
        </w:rPr>
        <w:t xml:space="preserve"> </w:t>
      </w:r>
      <w:r>
        <w:fldChar w:fldCharType="begin"/>
      </w:r>
      <w:r>
        <w:rPr/>
        <w:instrText> HYPERLINK "http://refhub.elsevier.com/S0308-597X(23)00211-7/sbref34" </w:instrText>
      </w:r>
      <w:r>
        <w:fldChar w:fldCharType="separate"/>
      </w:r>
      <w:r>
        <w:rPr>
          <w:rStyle w:val="CharStyle3"/>
          <w:color w:val="2196D1"/>
        </w:rPr>
        <w:t xml:space="preserve">Satellite Telemetry, in: ICES J. Mar. SCI, 68, 2011, pp. </w:t>
      </w:r>
      <w:r>
        <w:rPr>
          <w:rStyle w:val="CharStyle3"/>
          <w:color w:val="2196D1"/>
          <w:sz w:val="11"/>
        </w:rPr>
      </w:r>
      <w:r>
        <w:rPr>
          <w:rStyle w:val="CharStyle3"/>
          <w:color w:val="2196D1"/>
        </w:rPr>
        <w:t>2201-2209</w:t>
      </w:r>
      <w:r>
        <w:fldChar w:fldCharType="end"/>
      </w:r>
      <w:r>
        <w:rPr>
          <w:rStyle w:val="CharStyle3"/>
        </w:rPr>
        <w:t>.</w:t>
      </w:r>
      <w:bookmarkEnd w:id="103"/>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"http://refhub.elsevier.com/S0308-597X(23)00211-7/sbref35" </w:instrText>
      </w:r>
      <w:r>
        <w:fldChar w:fldCharType="separate"/>
      </w:r>
      <w:bookmarkStart w:id="104" w:name="bookmark104"/>
      <w:r>
        <w:rPr>
          <w:rStyle w:val="CharStyle3"/>
          <w:color w:val="2196D1"/>
        </w:rPr>
        <w:t xml:space="preserve">R.D. Long, A. Charles, R.L. Stephenson, Key principles of marine ecosystem-based</w:t>
      </w:r>
      <w:r>
        <w:fldChar w:fldCharType="end"/>
      </w:r>
      <w:r>
        <w:rPr>
          <w:rStyle w:val="CharStyle3"/>
          <w:color w:val="2196D1"/>
        </w:rPr>
        <w:t xml:space="preserve"> </w:t>
      </w:r>
      <w:r>
        <w:fldChar w:fldCharType="begin"/>
      </w:r>
      <w:r>
        <w:rPr/>
        <w:instrText> HYPERLINK "http://refhub.elsevier.com/S0308-597X(23)00211-7/sbref35" </w:instrText>
      </w:r>
      <w:r>
        <w:fldChar w:fldCharType="separate"/>
      </w:r>
      <w:r>
        <w:rPr>
          <w:rStyle w:val="CharStyle3"/>
          <w:color w:val="2196D1"/>
        </w:rPr>
        <w:t xml:space="preserve">management, Mar. Policy 57 (2015)</w:t>
      </w:r>
      <w:r>
        <w:rPr>
          <w:rStyle w:val="CharStyle3"/>
          <w:color w:val="2196D1"/>
          <w:sz w:val="11"/>
        </w:rPr>
      </w:r>
      <w:r>
        <w:rPr>
          <w:rStyle w:val="CharStyle3"/>
          <w:color w:val="2196D1"/>
        </w:rPr>
        <w:t>53-60</w:t>
      </w:r>
      <w:r>
        <w:fldChar w:fldCharType="end"/>
      </w:r>
      <w:r>
        <w:rPr>
          <w:rStyle w:val="CharStyle3"/>
        </w:rPr>
        <w:t>.</w:t>
      </w:r>
      <w:bookmarkEnd w:id="104"/>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"http://refhub.elsevier.com/S0308-597X(23)00211-7/sbref36" </w:instrText>
      </w:r>
      <w:r>
        <w:fldChar w:fldCharType="separate"/>
      </w:r>
      <w:r>
        <w:rPr>
          <w:rStyle w:val="CharStyle3"/>
          <w:color w:val="2196D1"/>
        </w:rPr>
        <w:t xml:space="preserve">S.G. Lunneryd, M.K. Bostro</w:t>
      </w:r>
      <w:r>
        <w:rPr>
          <w:rStyle w:val="CharStyle3"/>
          <w:color w:val="2196D1"/>
          <w:sz w:val="11"/>
        </w:rPr>
        <w:t xml:space="preserve"> ̈</w:t>
      </w:r>
      <w:r>
        <w:rPr>
          <w:rStyle w:val="CharStyle3"/>
          <w:color w:val="2196D1"/>
        </w:rPr>
        <w:t xml:space="preserve">m, P.E. Aspholm, Sealworm </w:t>
      </w:r>
      <w:r>
        <w:rPr>
          <w:rStyle w:val="CharStyle3"/>
          <w:i/>
          <w:color w:val="2196D1"/>
        </w:rPr>
        <w:t xml:space="preserve">Pseudoterranova decipiens</w:t>
      </w:r>
      <w:r>
        <w:fldChar w:fldCharType="end"/>
      </w:r>
      <w:r>
        <w:rPr>
          <w:rStyle w:val="CharStyle3"/>
          <w:i/>
          <w:color w:val="2196D1"/>
        </w:rPr>
        <w:t xml:space="preserve"> </w:t>
      </w:r>
      <w:r>
        <w:fldChar w:fldCharType="begin"/>
      </w:r>
      <w:r>
        <w:rPr/>
        <w:instrText> HYPERLINK "http://refhub.elsevier.com/S0308-597X(23)00211-7/sbref36" </w:instrText>
      </w:r>
      <w:r>
        <w:fldChar w:fldCharType="separate"/>
      </w:r>
      <w:r>
        <w:rPr>
          <w:rStyle w:val="CharStyle3"/>
          <w:color w:val="2196D1"/>
        </w:rPr>
        <w:t xml:space="preserve">infection in grey seals </w:t>
      </w:r>
      <w:r>
        <w:rPr>
          <w:rStyle w:val="CharStyle3"/>
          <w:i/>
          <w:color w:val="2196D1"/>
        </w:rPr>
        <w:t xml:space="preserve">Halichoerus grypus</w:t>
      </w:r>
      <w:r>
        <w:rPr>
          <w:rStyle w:val="CharStyle3"/>
          <w:color w:val="2196D1"/>
        </w:rPr>
        <w:t xml:space="preserve">, cod </w:t>
      </w:r>
      <w:r>
        <w:rPr>
          <w:rStyle w:val="CharStyle3"/>
          <w:i/>
          <w:color w:val="2196D1"/>
        </w:rPr>
        <w:t xml:space="preserve">Gadus morhua</w:t>
      </w:r>
      <w:r>
        <w:rPr>
          <w:rStyle w:val="CharStyle3"/>
          <w:color w:val="2196D1"/>
        </w:rPr>
        <w:t xml:space="preserve"> and shorthorn sculpin</w:t>
      </w:r>
      <w:r>
        <w:fldChar w:fldCharType="end"/>
      </w:r>
      <w:r>
        <w:rPr>
          <w:rStyle w:val="CharStyle3"/>
          <w:color w:val="2196D1"/>
        </w:rPr>
        <w:t xml:space="preserve"> </w:t>
      </w:r>
      <w:r>
        <w:fldChar w:fldCharType="begin"/>
      </w:r>
      <w:r>
        <w:rPr/>
        <w:instrText> HYPERLINK "http://refhub.elsevier.com/S0308-597X(23)00211-7/sbref36" </w:instrText>
      </w:r>
      <w:r>
        <w:fldChar w:fldCharType="separate"/>
      </w:r>
      <w:r>
        <w:rPr>
          <w:rStyle w:val="CharStyle3"/>
          <w:i/>
          <w:color w:val="2196D1"/>
        </w:rPr>
        <w:t xml:space="preserve">Myoxocephalus scorpius</w:t>
      </w:r>
      <w:r>
        <w:rPr>
          <w:rStyle w:val="CharStyle3"/>
          <w:color w:val="2196D1"/>
        </w:rPr>
        <w:t xml:space="preserve"> in the Baltic Sea, Parasitol. RES. 114 (2015)</w:t>
      </w:r>
      <w:r>
        <w:rPr>
          <w:rStyle w:val="CharStyle3"/>
          <w:color w:val="2196D1"/>
          <w:sz w:val="11"/>
        </w:rPr>
      </w:r>
      <w:r>
        <w:rPr>
          <w:rStyle w:val="CharStyle3"/>
          <w:color w:val="2196D1"/>
        </w:rPr>
        <w:t>257-264</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"http://refhub.elsevier.com/S0308-597X(23)00211-7/sbref37" </w:instrText>
      </w:r>
      <w:r>
        <w:fldChar w:fldCharType="separate"/>
      </w:r>
      <w:r>
        <w:rPr>
          <w:rStyle w:val="CharStyle3"/>
          <w:color w:val="2196D1"/>
        </w:rPr>
        <w:t xml:space="preserve">S.-G. Lunneryd, A. Fj</w:t>
      </w:r>
      <w:r>
        <w:rPr>
          <w:rStyle w:val="CharStyle3"/>
          <w:color w:val="2196D1"/>
          <w:sz w:val="11"/>
        </w:rPr>
        <w:t xml:space="preserve"> ̈</w:t>
      </w:r>
      <w:r>
        <w:rPr>
          <w:rStyle w:val="CharStyle3"/>
          <w:color w:val="2196D1"/>
        </w:rPr>
        <w:t xml:space="preserve">alling, H. Westerberg, A large-mesh salmon trap: a way to</w:t>
      </w:r>
      <w:r>
        <w:fldChar w:fldCharType="end"/>
      </w:r>
      <w:r>
        <w:rPr>
          <w:rStyle w:val="CharStyle3"/>
          <w:color w:val="2196D1"/>
        </w:rPr>
        <w:t xml:space="preserve"> </w:t>
      </w:r>
      <w:r>
        <w:fldChar w:fldCharType="begin"/>
      </w:r>
      <w:r>
        <w:rPr/>
        <w:instrText> HYPERLINK "http://refhub.elsevier.com/S0308-597X(23)00211-7/sbref37" </w:instrText>
      </w:r>
      <w:r>
        <w:fldChar w:fldCharType="separate"/>
      </w:r>
      <w:r>
        <w:rPr>
          <w:rStyle w:val="CharStyle3"/>
          <w:color w:val="2196D1"/>
        </w:rPr>
        <w:t xml:space="preserve">mitigate seal impact on a coastal fishery, ICES J. Mar. SCI. 60 (2003)</w:t>
      </w:r>
      <w:r>
        <w:rPr>
          <w:rStyle w:val="CharStyle3"/>
          <w:color w:val="2196D1"/>
          <w:sz w:val="11"/>
        </w:rPr>
      </w:r>
      <w:r>
        <w:rPr>
          <w:rStyle w:val="CharStyle3"/>
          <w:color w:val="2196D1"/>
        </w:rPr>
        <w:t>1194-1199</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"http://refhub.elsevier.com/S0308-597X(23)00211-7/sbref38" </w:instrText>
      </w:r>
      <w:r>
        <w:fldChar w:fldCharType="separate"/>
      </w:r>
      <w:bookmarkStart w:id="105" w:name="bookmark105"/>
      <w:r>
        <w:rPr>
          <w:rStyle w:val="CharStyle3"/>
          <w:color w:val="2196D1"/>
        </w:rPr>
        <w:t xml:space="preserve">A.M. Mverken, J.E. Mills Flemming, K. Kaschner, L.B. Christensen, H.K. Lotze,</w:t>
      </w:r>
      <w:r>
        <w:fldChar w:fldCharType="end"/>
      </w:r>
      <w:r>
        <w:rPr>
          <w:rStyle w:val="CharStyle3"/>
          <w:color w:val="2196D1"/>
        </w:rPr>
        <w:t xml:space="preserve"> </w:t>
      </w:r>
      <w:r>
        <w:fldChar w:fldCharType="begin"/>
      </w:r>
      <w:r>
        <w:rPr/>
        <w:instrText> HYPERLINK "http://refhub.elsevier.com/S0308-597X(23)00211-7/sbref38" </w:instrText>
      </w:r>
      <w:r>
        <w:fldChar w:fldCharType="separate"/>
      </w:r>
      <w:r>
        <w:rPr>
          <w:rStyle w:val="CharStyle3"/>
          <w:color w:val="2196D1"/>
        </w:rPr>
        <w:t xml:space="preserve">Recovery trends in marine Mammal populations, PLoS One 8 (2013), e77908</w:t>
      </w:r>
      <w:r>
        <w:fldChar w:fldCharType="end"/>
      </w:r>
      <w:r>
        <w:rPr>
          <w:rStyle w:val="CharStyle3"/>
        </w:rPr>
        <w:t>.</w:t>
      </w:r>
      <w:bookmarkEnd w:id="105"/>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"http://refhub.elsevier.com/S0308-597X(23)00211-7/sbref39" </w:instrText>
      </w:r>
      <w:r>
        <w:fldChar w:fldCharType="separate"/>
      </w:r>
      <w:r>
        <w:rPr>
          <w:rStyle w:val="CharStyle3"/>
          <w:color w:val="2196D1"/>
        </w:rPr>
        <w:t xml:space="preserve">B.J. McConnell, M.G. Curry, R.W. Vaughan, L.C. McConnell, Distributions of grey</w:t>
      </w:r>
      <w:r>
        <w:fldChar w:fldCharType="end"/>
      </w:r>
      <w:r>
        <w:rPr>
          <w:rStyle w:val="CharStyle3"/>
          <w:color w:val="2196D1"/>
        </w:rPr>
        <w:t xml:space="preserve"> </w:t>
      </w:r>
      <w:r>
        <w:fldChar w:fldCharType="begin"/>
      </w:r>
      <w:r>
        <w:rPr/>
        <w:instrText> HYPERLINK "http://refhub.elsevier.com/S0308-597X(23)00211-7/sbref39" </w:instrText>
      </w:r>
      <w:r>
        <w:fldChar w:fldCharType="separate"/>
      </w:r>
      <w:r>
        <w:rPr>
          <w:rStyle w:val="CharStyle3"/>
          <w:color w:val="2196D1"/>
        </w:rPr>
        <w:t xml:space="preserve">seal outside the breeding season. Interactions between Grey Seals and UK Fisheries,</w:t>
      </w:r>
      <w:r>
        <w:fldChar w:fldCharType="end"/>
      </w:r>
      <w:r>
        <w:rPr>
          <w:rStyle w:val="CharStyle3"/>
          <w:color w:val="2196D1"/>
        </w:rPr>
        <w:t xml:space="preserve"> </w:t>
      </w:r>
      <w:r>
        <w:fldChar w:fldCharType="begin"/>
      </w:r>
      <w:r>
        <w:rPr/>
        <w:instrText> HYPERLINK "http://refhub.elsevier.com/S0308-597X(23)00211-7/sbref39" </w:instrText>
      </w:r>
      <w:r>
        <w:fldChar w:fldCharType="separate"/>
      </w:r>
      <w:r>
        <w:rPr>
          <w:rStyle w:val="CharStyle3"/>
          <w:color w:val="2196D1"/>
        </w:rPr>
        <w:t xml:space="preserve">Natural Environment Research Council, Swindon, UK, 1984</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both"/>
      </w:pPr>
      <w:bookmarkStart w:id="106" w:name="bookmark106"/>
      <w:r>
        <w:rPr>
          <w:rStyle w:val="CharStyle3"/>
        </w:rPr>
        <w:t xml:space="preserve">MSFD, 2008. The Marine Strategy Framework Directive (MSFD). Directive 2008/56/EC of the European Parliament and of the Council of 17 June 2008 establishing a framework for community action in the field of marine environmental policy.</w:t>
      </w:r>
      <w:bookmarkEnd w:id="106"/>
    </w:p>
    <w:p>
      <w:pPr>
        <w:pStyle w:val="Style2"/>
        <w:keepNext w:val="0"/>
        <w:keepLines w:val="0"/>
        <w:widowControl w:val="0"/>
        <w:numPr>
          <w:ilvl w:val="0"/>
          <w:numId w:val="9"/>
        </w:numPr>
        <w:shd w:val="clear" w:color="auto" w:fill="auto"/>
        <w:tabs>
          <w:tab w:pos="356" w:val="left"/>
        </w:tabs>
        <w:spacing w:before="0" w:after="0"/>
        <w:ind w:right="0"/>
        <w:jc w:val="both"/>
      </w:pPr>
      <w:r>
        <w:fldChar w:fldCharType="begin"/>
      </w:r>
      <w:r>
        <w:rPr/>
        <w:instrText> HYPERLINK "http://refhub.elsevier.com/S0308-597X(23)00211-7/sbref40" </w:instrText>
      </w:r>
      <w:r>
        <w:fldChar w:fldCharType="separate"/>
      </w:r>
      <w:bookmarkStart w:id="107" w:name="bookmark107"/>
      <w:r>
        <w:rPr>
          <w:rStyle w:val="CharStyle3"/>
          <w:color w:val="2196D1"/>
        </w:rPr>
        <w:t xml:space="preserve">NAMMCO, Marine mammals: a multifaceted resource, Rep. North Atl. Moar.</w:t>
      </w:r>
      <w:r>
        <w:fldChar w:fldCharType="end"/>
      </w:r>
      <w:r>
        <w:rPr>
          <w:rStyle w:val="CharStyle3"/>
          <w:color w:val="2196D1"/>
        </w:rPr>
        <w:t xml:space="preserve"> </w:t>
      </w:r>
      <w:r>
        <w:fldChar w:fldCharType="begin"/>
      </w:r>
      <w:r>
        <w:rPr/>
        <w:instrText> HYPERLINK "http://refhub.elsevier.com/S0308-597X(23)00211-7/sbref40" </w:instrText>
      </w:r>
      <w:r>
        <w:fldChar w:fldCharType="separate"/>
      </w:r>
      <w:r>
        <w:rPr>
          <w:rStyle w:val="CharStyle3"/>
          <w:color w:val="2196D1"/>
        </w:rPr>
        <w:t xml:space="preserve">Mammal. COMM. (NAMMCO) (2017) 50</w:t>
      </w:r>
      <w:r>
        <w:fldChar w:fldCharType="end"/>
      </w:r>
      <w:r>
        <w:rPr>
          <w:rStyle w:val="CharStyle3"/>
        </w:rPr>
        <w:t>.</w:t>
      </w:r>
      <w:bookmarkEnd w:id="107"/>
    </w:p>
    <w:p>
      <w:pPr>
        <w:pStyle w:val="Style2"/>
        <w:keepNext w:val="0"/>
        <w:keepLines w:val="0"/>
        <w:widowControl w:val="0"/>
        <w:numPr>
          <w:ilvl w:val="0"/>
          <w:numId w:val="9"/>
        </w:numPr>
        <w:shd w:val="clear" w:color="auto" w:fill="auto"/>
        <w:tabs>
          <w:tab w:pos="356" w:val="left"/>
        </w:tabs>
        <w:spacing w:before="0" w:after="0"/>
        <w:ind w:right="0"/>
        <w:jc w:val="both"/>
      </w:pPr>
      <w:bookmarkStart w:id="108" w:name="bookmark108"/>
      <w:r>
        <w:rPr>
          <w:rStyle w:val="CharStyle3"/>
        </w:rPr>
        <w:t xml:space="preserve">S.M. Oksanen, M.A. Ahola, E. Lehtonen, M. Kunnasranta, Using movement data of Baltic grey seals to examine foraging-site fidelity: implications for seal</w:t>
      </w:r>
      <w:r>
        <w:rPr>
          <w:rStyle w:val="CharStyle3"/>
          <w:sz w:val="11"/>
        </w:rPr>
        <w:t xml:space="preserve">– </w:t>
      </w:r>
      <w:r>
        <w:rPr>
          <w:rStyle w:val="CharStyle3"/>
        </w:rPr>
        <w:t xml:space="preserve">fishing conflict mitigation, Mar. Ecol. PROG. See. 507 (2014)</w:t>
      </w:r>
      <w:r>
        <w:rPr>
          <w:rStyle w:val="CharStyle3"/>
          <w:sz w:val="11"/>
        </w:rPr>
        <w:t>297-308</w:t>
      </w:r>
      <w:r>
        <w:rPr>
          <w:rStyle w:val="CharStyle3"/>
        </w:rPr>
        <w:t xml:space="preserve">, </w:t>
      </w:r>
      <w:r>
        <w:fldChar w:fldCharType="begin"/>
      </w:r>
      <w:r>
        <w:rPr/>
        <w:instrText> HYPERLINK "https://doi.org/10.3354/meps10846" </w:instrText>
      </w:r>
      <w:r>
        <w:fldChar w:fldCharType="separate"/>
      </w:r>
      <w:r>
        <w:rPr>
          <w:rStyle w:val="CharStyle3"/>
          <w:color w:val="2196D1"/>
        </w:rPr>
        <w:t>https://doi.org/</w:t>
      </w:r>
      <w:r>
        <w:fldChar w:fldCharType="end"/>
      </w:r>
      <w:r>
        <w:rPr>
          <w:rStyle w:val="CharStyle3"/>
          <w:color w:val="2196D1"/>
        </w:rPr>
        <w:t xml:space="preserve"> </w:t>
      </w:r>
      <w:r>
        <w:fldChar w:fldCharType="begin"/>
      </w:r>
      <w:r>
        <w:rPr/>
        <w:instrText> HYPERLINK "https://doi.org/10.3354/meps10846" </w:instrText>
      </w:r>
      <w:r>
        <w:fldChar w:fldCharType="separate"/>
      </w:r>
      <w:r>
        <w:rPr>
          <w:rStyle w:val="CharStyle3"/>
          <w:color w:val="2196D1"/>
        </w:rPr>
        <w:t>10.3354/meps10846</w:t>
      </w:r>
      <w:r>
        <w:fldChar w:fldCharType="end"/>
      </w:r>
      <w:r>
        <w:rPr>
          <w:rStyle w:val="CharStyle3"/>
        </w:rPr>
        <w:t>.</w:t>
      </w:r>
      <w:bookmarkEnd w:id="108"/>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"http://refhub.elsevier.com/S0308-597X(23)00211-7/sbref42" </w:instrText>
      </w:r>
      <w:r>
        <w:fldChar w:fldCharType="separate"/>
      </w:r>
      <w:bookmarkStart w:id="109" w:name="bookmark109"/>
      <w:r>
        <w:rPr>
          <w:rStyle w:val="CharStyle3"/>
          <w:color w:val="2196D1"/>
        </w:rPr>
        <w:t xml:space="preserve">P.P. Pomeroy, S.D. Twiss, P. Redman, Philopatry, site fidelity and local</w:t>
      </w:r>
      <w:r>
        <w:fldChar w:fldCharType="end"/>
      </w:r>
      <w:r>
        <w:rPr>
          <w:rStyle w:val="CharStyle3"/>
          <w:color w:val="2196D1"/>
        </w:rPr>
        <w:t xml:space="preserve"> </w:t>
      </w:r>
      <w:r>
        <w:fldChar w:fldCharType="begin"/>
      </w:r>
      <w:r>
        <w:rPr/>
        <w:instrText> HYPERLINK "http://refhub.elsevier.com/S0308-597X(23)00211-7/sbref42" </w:instrText>
      </w:r>
      <w:r>
        <w:fldChar w:fldCharType="separate"/>
      </w:r>
      <w:r>
        <w:rPr>
          <w:rStyle w:val="CharStyle3"/>
          <w:color w:val="2196D1"/>
        </w:rPr>
        <w:t xml:space="preserve">kin associations within grey seal breeding colonies, Ethology 106 (2000)</w:t>
      </w:r>
      <w:r>
        <w:rPr>
          <w:rStyle w:val="CharStyle3"/>
          <w:color w:val="2196D1"/>
          <w:sz w:val="11"/>
        </w:rPr>
      </w:r>
      <w:r>
        <w:rPr>
          <w:rStyle w:val="CharStyle3"/>
          <w:color w:val="2196D1"/>
        </w:rPr>
        <w:t>899-919</w:t>
      </w:r>
      <w:r>
        <w:fldChar w:fldCharType="end"/>
      </w:r>
      <w:r>
        <w:rPr>
          <w:rStyle w:val="CharStyle3"/>
        </w:rPr>
        <w:t>.</w:t>
      </w:r>
      <w:bookmarkEnd w:id="109"/>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"http://refhub.elsevier.com/S0308-597X(23)00211-7/sbref43" </w:instrText>
      </w:r>
      <w:r>
        <w:fldChar w:fldCharType="separate"/>
      </w:r>
      <w:r>
        <w:rPr>
          <w:rStyle w:val="CharStyle3"/>
          <w:color w:val="2196D1"/>
        </w:rPr>
        <w:t xml:space="preserve">M. SJO</w:t>
      </w:r>
      <w:r>
        <w:rPr>
          <w:rStyle w:val="CharStyle3"/>
          <w:color w:val="2196D1"/>
          <w:sz w:val="11"/>
        </w:rPr>
        <w:t xml:space="preserve"> ̈</w:t>
      </w:r>
      <w:r>
        <w:rPr>
          <w:rStyle w:val="CharStyle3"/>
          <w:color w:val="2196D1"/>
        </w:rPr>
        <w:t xml:space="preserve">berg, M. Fedak, B. McConnell, Movements and diurnal behaviour or patterns in a</w:t>
      </w:r>
      <w:r>
        <w:fldChar w:fldCharType="end"/>
      </w:r>
      <w:r>
        <w:rPr>
          <w:rStyle w:val="CharStyle3"/>
          <w:color w:val="2196D1"/>
        </w:rPr>
        <w:t xml:space="preserve"> </w:t>
      </w:r>
      <w:r>
        <w:fldChar w:fldCharType="begin"/>
      </w:r>
      <w:r>
        <w:rPr/>
        <w:instrText> HYPERLINK "http://refhub.elsevier.com/S0308-597X(23)00211-7/sbref43" </w:instrText>
      </w:r>
      <w:r>
        <w:fldChar w:fldCharType="separate"/>
      </w:r>
      <w:r>
        <w:rPr>
          <w:rStyle w:val="CharStyle3"/>
          <w:color w:val="2196D1"/>
        </w:rPr>
        <w:t xml:space="preserve">Baltic grey seal (</w:t>
      </w:r>
      <w:r>
        <w:rPr>
          <w:rStyle w:val="CharStyle3"/>
          <w:i/>
          <w:color w:val="2196D1"/>
        </w:rPr>
        <w:t xml:space="preserve">Halichoerus grypus</w:t>
      </w:r>
      <w:r>
        <w:rPr>
          <w:rStyle w:val="CharStyle3"/>
          <w:color w:val="2196D1"/>
        </w:rPr>
        <w:t xml:space="preserve">), Polar Biol. 15 (1995)</w:t>
      </w:r>
      <w:r>
        <w:rPr>
          <w:rStyle w:val="CharStyle3"/>
          <w:color w:val="2196D1"/>
          <w:sz w:val="11"/>
        </w:rPr>
      </w:r>
      <w:r>
        <w:rPr>
          <w:rStyle w:val="CharStyle3"/>
          <w:color w:val="2196D1"/>
        </w:rPr>
        <w:t>593-595</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"http://refhub.elsevier.com/S0308-597X(23)00211-7/sbref44" </w:instrText>
      </w:r>
      <w:r>
        <w:fldChar w:fldCharType="separate"/>
      </w:r>
      <w:r>
        <w:rPr>
          <w:rStyle w:val="CharStyle3"/>
          <w:color w:val="2196D1"/>
        </w:rPr>
        <w:t xml:space="preserve">P. Suuronen, A. Siira, T. Kauppinen, R. Riikonen, E. Lehtonen, H. Harjunp</w:t>
      </w:r>
      <w:r>
        <w:rPr>
          <w:rStyle w:val="CharStyle3"/>
          <w:color w:val="2196D1"/>
          <w:sz w:val="11"/>
        </w:rPr>
        <w:t xml:space="preserve"> ̈</w:t>
      </w:r>
      <w:r>
        <w:rPr>
          <w:rStyle w:val="CharStyle3"/>
          <w:color w:val="2196D1"/>
        </w:rPr>
        <w:t>a</w:t>
      </w:r>
      <w:r>
        <w:rPr>
          <w:rStyle w:val="CharStyle3"/>
          <w:color w:val="2196D1"/>
          <w:sz w:val="11"/>
        </w:rPr>
        <w:t xml:space="preserve"> ̈</w:t>
      </w:r>
      <w:r>
        <w:rPr>
          <w:rStyle w:val="CharStyle3"/>
          <w:color w:val="2196D1"/>
        </w:rPr>
        <w:t>a,</w:t>
      </w:r>
      <w:r>
        <w:fldChar w:fldCharType="end"/>
      </w:r>
      <w:r>
        <w:rPr>
          <w:rStyle w:val="CharStyle3"/>
          <w:color w:val="2196D1"/>
        </w:rPr>
        <w:t xml:space="preserve"> </w:t>
      </w:r>
      <w:r>
        <w:fldChar w:fldCharType="begin"/>
      </w:r>
      <w:r>
        <w:rPr/>
        <w:instrText> HYPERLINK "http://refhub.elsevier.com/S0308-597X(23)00211-7/sbref44" </w:instrText>
      </w:r>
      <w:r>
        <w:fldChar w:fldCharType="separate"/>
      </w:r>
      <w:r>
        <w:rPr>
          <w:rStyle w:val="CharStyle3"/>
          <w:color w:val="2196D1"/>
        </w:rPr>
        <w:t xml:space="preserve">Reduction of seal-induced capture and gear damage by modification of trap-net</w:t>
      </w:r>
      <w:r>
        <w:fldChar w:fldCharType="end"/>
      </w:r>
      <w:r>
        <w:rPr>
          <w:rStyle w:val="CharStyle3"/>
          <w:color w:val="2196D1"/>
        </w:rPr>
        <w:t xml:space="preserve"> </w:t>
      </w:r>
      <w:r>
        <w:fldChar w:fldCharType="begin"/>
      </w:r>
      <w:r>
        <w:rPr/>
        <w:instrText> HYPERLINK "http://refhub.elsevier.com/S0308-597X(23)00211-7/sbref44" </w:instrText>
      </w:r>
      <w:r>
        <w:fldChar w:fldCharType="separate"/>
      </w:r>
      <w:r>
        <w:rPr>
          <w:rStyle w:val="CharStyle3"/>
          <w:color w:val="2196D1"/>
        </w:rPr>
        <w:t xml:space="preserve">design: design principles for a seal-safe trap-net, Fish. RES. 79 (2006)</w:t>
      </w:r>
      <w:r>
        <w:rPr>
          <w:rStyle w:val="CharStyle3"/>
          <w:color w:val="2196D1"/>
          <w:sz w:val="11"/>
        </w:rPr>
      </w:r>
      <w:r>
        <w:rPr>
          <w:rStyle w:val="CharStyle3"/>
          <w:color w:val="2196D1"/>
        </w:rPr>
        <w:t>129-138</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"http://refhub.elsevier.com/S0308-597X(23)00211-7/sbref45" </w:instrText>
      </w:r>
      <w:r>
        <w:fldChar w:fldCharType="separate"/>
      </w:r>
      <w:bookmarkStart w:id="110" w:name="bookmark110"/>
      <w:r>
        <w:rPr>
          <w:rStyle w:val="CharStyle3"/>
          <w:color w:val="2196D1"/>
        </w:rPr>
        <w:t xml:space="preserve">K. Svels, P. Salmi, J. Melloura, J. Niukko, The impacts of seals and Cormorants</w:t>
      </w:r>
      <w:r>
        <w:fldChar w:fldCharType="end"/>
      </w:r>
      <w:r>
        <w:rPr>
          <w:rStyle w:val="CharStyle3"/>
          <w:color w:val="2196D1"/>
        </w:rPr>
        <w:t xml:space="preserve"> </w:t>
      </w:r>
      <w:r>
        <w:fldChar w:fldCharType="begin"/>
      </w:r>
      <w:r>
        <w:rPr/>
        <w:instrText> HYPERLINK "http://refhub.elsevier.com/S0308-597X(23)00211-7/sbref45" </w:instrText>
      </w:r>
      <w:r>
        <w:fldChar w:fldCharType="separate"/>
      </w:r>
      <w:r>
        <w:rPr>
          <w:rStyle w:val="CharStyle3"/>
          <w:color w:val="2196D1"/>
        </w:rPr>
        <w:t xml:space="preserve">experimented by Baltic Sea commercial Fishers. Natural resources and bioeconomy</w:t>
      </w:r>
      <w:r>
        <w:fldChar w:fldCharType="end"/>
      </w:r>
      <w:r>
        <w:rPr>
          <w:rStyle w:val="CharStyle3"/>
          <w:color w:val="2196D1"/>
        </w:rPr>
        <w:t xml:space="preserve"> </w:t>
      </w:r>
      <w:r>
        <w:fldChar w:fldCharType="begin"/>
      </w:r>
      <w:r>
        <w:rPr/>
        <w:instrText> HYPERLINK "http://refhub.elsevier.com/S0308-597X(23)00211-7/sbref45" </w:instrText>
      </w:r>
      <w:r>
        <w:fldChar w:fldCharType="separate"/>
      </w:r>
      <w:r>
        <w:rPr>
          <w:rStyle w:val="CharStyle3"/>
          <w:color w:val="2196D1"/>
        </w:rPr>
        <w:t xml:space="preserve">studies 77/2019. Natural Resources Institute Finland, Helsinki (2019) 50</w:t>
      </w:r>
      <w:r>
        <w:fldChar w:fldCharType="end"/>
      </w:r>
      <w:r>
        <w:rPr>
          <w:rStyle w:val="CharStyle3"/>
        </w:rPr>
        <w:t>.</w:t>
      </w:r>
      <w:bookmarkEnd w:id="110"/>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"http://refhub.elsevier.com/S0308-597X(23)00211-7/sbref46" </w:instrText>
      </w:r>
      <w:r>
        <w:fldChar w:fldCharType="separate"/>
      </w:r>
      <w:bookmarkStart w:id="111" w:name="bookmark111"/>
      <w:r>
        <w:rPr>
          <w:rStyle w:val="CharStyle3"/>
          <w:color w:val="2196D1"/>
        </w:rPr>
        <w:t xml:space="preserve">N. Tynkynen, The Baltic Sea environment and the European Union: analysis of</w:t>
      </w:r>
      <w:r>
        <w:fldChar w:fldCharType="end"/>
      </w:r>
      <w:r>
        <w:rPr>
          <w:rStyle w:val="CharStyle3"/>
          <w:color w:val="2196D1"/>
        </w:rPr>
        <w:t xml:space="preserve"> </w:t>
      </w:r>
      <w:r>
        <w:fldChar w:fldCharType="begin"/>
      </w:r>
      <w:r>
        <w:rPr/>
        <w:instrText> HYPERLINK "http://refhub.elsevier.com/S0308-597X(23)00211-7/sbref46" </w:instrText>
      </w:r>
      <w:r>
        <w:fldChar w:fldCharType="separate"/>
      </w:r>
      <w:r>
        <w:rPr>
          <w:rStyle w:val="CharStyle3"/>
          <w:color w:val="2196D1"/>
        </w:rPr>
        <w:t xml:space="preserve">governance barriers, Mar. Policy 81 (2017)</w:t>
      </w:r>
      <w:r>
        <w:rPr>
          <w:rStyle w:val="CharStyle3"/>
          <w:color w:val="2196D1"/>
          <w:sz w:val="11"/>
        </w:rPr>
      </w:r>
      <w:r>
        <w:rPr>
          <w:rStyle w:val="CharStyle3"/>
          <w:color w:val="2196D1"/>
        </w:rPr>
        <w:t>124-131</w:t>
      </w:r>
      <w:r>
        <w:fldChar w:fldCharType="end"/>
      </w:r>
      <w:r>
        <w:rPr>
          <w:rStyle w:val="CharStyle3"/>
        </w:rPr>
        <w:t>.</w:t>
      </w:r>
      <w:bookmarkEnd w:id="111"/>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"http://refhub.elsevier.com/S0308-597X(23)00211-7/sbref47" </w:instrText>
      </w:r>
      <w:r>
        <w:fldChar w:fldCharType="separate"/>
      </w:r>
      <w:r>
        <w:rPr>
          <w:rStyle w:val="CharStyle3"/>
          <w:color w:val="2196D1"/>
        </w:rPr>
        <w:t xml:space="preserve">UN, Report of the World Commission on Environment and Development: Our</w:t>
      </w:r>
      <w:r>
        <w:fldChar w:fldCharType="end"/>
      </w:r>
      <w:r>
        <w:rPr>
          <w:rStyle w:val="CharStyle3"/>
          <w:color w:val="2196D1"/>
        </w:rPr>
        <w:t xml:space="preserve"> </w:t>
      </w:r>
      <w:r>
        <w:fldChar w:fldCharType="begin"/>
      </w:r>
      <w:r>
        <w:rPr/>
        <w:instrText> HYPERLINK "http://refhub.elsevier.com/S0308-597X(23)00211-7/sbref47" </w:instrText>
      </w:r>
      <w:r>
        <w:fldChar w:fldCharType="separate"/>
      </w:r>
      <w:r>
        <w:rPr>
          <w:rStyle w:val="CharStyle3"/>
          <w:color w:val="2196D1"/>
        </w:rPr>
        <w:t xml:space="preserve">Common Future, Oxford University Press, Oxford, 1987</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bookmarkStart w:id="112" w:name="bookmark112"/>
      <w:r>
        <w:rPr>
          <w:rStyle w:val="CharStyle3"/>
        </w:rPr>
        <w:t xml:space="preserve">J. Vanhatalo, M. Vetemaa, A. Herrero, T. Aho, R. Tiilikainen, by-catch of grey seals (</w:t>
      </w:r>
      <w:r>
        <w:rPr>
          <w:rStyle w:val="CharStyle3"/>
          <w:i/>
        </w:rPr>
        <w:t xml:space="preserve">Halichoerus grypus</w:t>
      </w:r>
      <w:r>
        <w:rPr>
          <w:rStyle w:val="CharStyle3"/>
        </w:rPr>
        <w:t xml:space="preserve">) in Baltic fisheries</w:t>
      </w:r>
      <w:r>
        <w:rPr>
          <w:rStyle w:val="CharStyle3"/>
          <w:sz w:val="11"/>
        </w:rPr>
        <w:t>—</w:t>
      </w:r>
      <w:r>
        <w:rPr>
          <w:rStyle w:val="CharStyle3"/>
        </w:rPr>
        <w:t xml:space="preserve">a bayesian analysis of interview survey, PLoS ONE 9 (11) (2014), e113836, </w:t>
      </w:r>
      <w:r>
        <w:fldChar w:fldCharType="begin"/>
      </w:r>
      <w:r>
        <w:rPr/>
        <w:instrText> HYPERLINK "https://doi.org/10.1371/journal.pone.0113836" </w:instrText>
      </w:r>
      <w:r>
        <w:fldChar w:fldCharType="separate"/>
      </w:r>
      <w:r>
        <w:rPr>
          <w:rStyle w:val="CharStyle3"/>
          <w:color w:val="2196D1"/>
        </w:rPr>
        <w:t>https://doi.org/10.1371/journal.</w:t>
      </w:r>
      <w:bookmarkEnd w:id="112"/>
      <w:r>
        <w:fldChar w:fldCharType="end"/>
      </w:r>
    </w:p>
    <w:p>
      <w:pPr>
        <w:pStyle w:val="Style2"/>
        <w:keepNext w:val="0"/>
        <w:keepLines w:val="0"/>
        <w:widowControl w:val="0"/>
        <w:shd w:val="clear" w:color="auto" w:fill="auto"/>
        <w:spacing w:before="0" w:after="0"/>
        <w:ind w:left="0" w:right="0" w:firstLine="340"/>
        <w:jc w:val="both"/>
      </w:pPr>
      <w:r>
        <w:fldChar w:fldCharType="begin"/>
      </w:r>
      <w:r>
        <w:rPr/>
        <w:instrText> HYPERLINK "https://doi.org/10.1371/journal.pone.0113836" </w:instrText>
      </w:r>
      <w:r>
        <w:fldChar w:fldCharType="separate"/>
      </w:r>
      <w:r>
        <w:rPr>
          <w:rStyle w:val="CharStyle3"/>
          <w:color w:val="2196D1"/>
        </w:rPr>
        <w:t>pone.0113836</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"http://refhub.elsevier.com/S0308-597X(23)00211-7/sbref49" </w:instrText>
      </w:r>
      <w:r>
        <w:fldChar w:fldCharType="separate"/>
      </w:r>
      <w:r>
        <w:rPr>
          <w:rStyle w:val="CharStyle3"/>
          <w:color w:val="2196D1"/>
        </w:rPr>
        <w:t xml:space="preserve">R. Varjopuro, Co-existence of seals and fisheries? Adaptation of a coastal fishery for</w:t>
      </w:r>
      <w:r>
        <w:fldChar w:fldCharType="end"/>
      </w:r>
      <w:r>
        <w:rPr>
          <w:rStyle w:val="CharStyle3"/>
          <w:color w:val="2196D1"/>
        </w:rPr>
        <w:t xml:space="preserve"> </w:t>
      </w:r>
      <w:r>
        <w:fldChar w:fldCharType="begin"/>
      </w:r>
      <w:r>
        <w:rPr/>
        <w:instrText> HYPERLINK "http://refhub.elsevier.com/S0308-597X(23)00211-7/sbref49" </w:instrText>
      </w:r>
      <w:r>
        <w:fldChar w:fldCharType="separate"/>
      </w:r>
      <w:r>
        <w:rPr>
          <w:rStyle w:val="CharStyle3"/>
          <w:color w:val="2196D1"/>
        </w:rPr>
        <w:t xml:space="preserve">recovery of the Baltic grey seal, Mar. Policy 35 (2011)</w:t>
      </w:r>
      <w:r>
        <w:rPr>
          <w:rStyle w:val="CharStyle3"/>
          <w:color w:val="2196D1"/>
          <w:sz w:val="11"/>
        </w:rPr>
      </w:r>
      <w:r>
        <w:rPr>
          <w:rStyle w:val="CharStyle3"/>
          <w:color w:val="2196D1"/>
        </w:rPr>
        <w:t>450-456</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"http://refhub.elsevier.com/S0308-597X(23)00211-7/sbref50" </w:instrText>
      </w:r>
      <w:r>
        <w:fldChar w:fldCharType="separate"/>
      </w:r>
      <w:r>
        <w:rPr>
          <w:rStyle w:val="CharStyle3"/>
          <w:color w:val="2196D1"/>
        </w:rPr>
        <w:t xml:space="preserve">M. Vetemaa, U. P</w:t>
      </w:r>
      <w:r>
        <w:rPr>
          <w:rStyle w:val="CharStyle3"/>
          <w:color w:val="2196D1"/>
          <w:sz w:val="11"/>
        </w:rPr>
        <w:t xml:space="preserve"> ̈</w:t>
      </w:r>
      <w:r>
        <w:rPr>
          <w:rStyle w:val="CharStyle3"/>
          <w:color w:val="2196D1"/>
        </w:rPr>
        <w:t>a</w:t>
      </w:r>
      <w:r>
        <w:rPr>
          <w:rStyle w:val="CharStyle3"/>
          <w:color w:val="2196D1"/>
          <w:sz w:val="11"/>
        </w:rPr>
        <w:t xml:space="preserve"> ̈</w:t>
      </w:r>
      <w:r>
        <w:rPr>
          <w:rStyle w:val="CharStyle3"/>
          <w:color w:val="2196D1"/>
        </w:rPr>
        <w:t xml:space="preserve">Adam, A. Fj</w:t>
      </w:r>
      <w:r>
        <w:rPr>
          <w:rStyle w:val="CharStyle3"/>
          <w:color w:val="2196D1"/>
          <w:sz w:val="11"/>
        </w:rPr>
        <w:t xml:space="preserve"> ̈</w:t>
      </w:r>
      <w:r>
        <w:rPr>
          <w:rStyle w:val="CharStyle3"/>
          <w:color w:val="2196D1"/>
        </w:rPr>
        <w:t xml:space="preserve">alling, M. Rohtla, R. Svirgsden, I. Taal, A. Verliin,</w:t>
      </w:r>
      <w:r>
        <w:fldChar w:fldCharType="end"/>
      </w:r>
      <w:r>
        <w:rPr>
          <w:rStyle w:val="CharStyle3"/>
          <w:color w:val="2196D1"/>
        </w:rPr>
        <w:t xml:space="preserve"> </w:t>
      </w:r>
      <w:r>
        <w:fldChar w:fldCharType="begin"/>
      </w:r>
      <w:r>
        <w:rPr/>
        <w:instrText> HYPERLINK "http://refhub.elsevier.com/S0308-597X(23)00211-7/sbref50" </w:instrText>
      </w:r>
      <w:r>
        <w:fldChar w:fldCharType="separate"/>
      </w:r>
      <w:r>
        <w:rPr>
          <w:rStyle w:val="CharStyle3"/>
          <w:color w:val="2196D1"/>
        </w:rPr>
        <w:t xml:space="preserve">R. Eschbaum, L. Saks, Seal-induced losses and successful mitigation using acoustic</w:t>
      </w:r>
      <w:r>
        <w:fldChar w:fldCharType="end"/>
      </w:r>
      <w:r>
        <w:rPr>
          <w:rStyle w:val="CharStyle3"/>
          <w:color w:val="2196D1"/>
        </w:rPr>
        <w:t xml:space="preserve"> </w:t>
      </w:r>
      <w:r>
        <w:fldChar w:fldCharType="begin"/>
      </w:r>
      <w:r>
        <w:rPr/>
        <w:instrText> HYPERLINK "http://refhub.elsevier.com/S0308-597X(23)00211-7/sbref50" </w:instrText>
      </w:r>
      <w:r>
        <w:fldChar w:fldCharType="separate"/>
      </w:r>
      <w:r>
        <w:rPr>
          <w:rStyle w:val="CharStyle3"/>
          <w:color w:val="2196D1"/>
        </w:rPr>
        <w:t xml:space="preserve">harness devices in Estonian Baltic trap-net fisheries, Proc. ESST. ACAD. SCI. 70</w:t>
      </w:r>
      <w:r>
        <w:fldChar w:fldCharType="end"/>
      </w:r>
      <w:r>
        <w:rPr>
          <w:rStyle w:val="CharStyle3"/>
          <w:color w:val="2196D1"/>
        </w:rPr>
        <w:t xml:space="preserve"> </w:t>
      </w:r>
      <w:r>
        <w:fldChar w:fldCharType="begin"/>
      </w:r>
      <w:r>
        <w:rPr/>
        <w:instrText> HYPERLINK "http://refhub.elsevier.com/S0308-597X(23)00211-7/sbref50" </w:instrText>
      </w:r>
      <w:r>
        <w:fldChar w:fldCharType="separate"/>
      </w:r>
      <w:r>
        <w:rPr>
          <w:rStyle w:val="CharStyle3"/>
          <w:color w:val="2196D1"/>
        </w:rPr>
        <w:t>(2021)</w:t>
      </w:r>
      <w:r>
        <w:rPr>
          <w:rStyle w:val="CharStyle3"/>
          <w:color w:val="2196D1"/>
          <w:sz w:val="11"/>
        </w:rPr>
      </w:r>
      <w:r>
        <w:rPr>
          <w:rStyle w:val="CharStyle3"/>
          <w:color w:val="2196D1"/>
        </w:rPr>
        <w:t>207-214</w:t>
      </w:r>
      <w:r>
        <w:fldChar w:fldCharType="end"/>
      </w:r>
      <w:r>
        <w:rPr>
          <w:rStyle w:val="CharStyle3"/>
        </w:rPr>
        <w:t>.</w:t>
      </w:r>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"http://refhub.elsevier.com/S0308-597X(23)00211-7/sbref51" </w:instrText>
      </w:r>
      <w:r>
        <w:fldChar w:fldCharType="separate"/>
      </w:r>
      <w:bookmarkStart w:id="113" w:name="bookmark113"/>
      <w:r>
        <w:rPr>
          <w:rStyle w:val="CharStyle3"/>
          <w:color w:val="2196D1"/>
        </w:rPr>
        <w:t xml:space="preserve">Å. Waldo, M. Johansson, J. Blomquist, T. Jansson, S. K</w:t>
      </w:r>
      <w:r>
        <w:rPr>
          <w:rStyle w:val="CharStyle3"/>
          <w:color w:val="2196D1"/>
          <w:sz w:val="11"/>
        </w:rPr>
        <w:t xml:space="preserve"> ̈</w:t>
      </w:r>
      <w:r>
        <w:rPr>
          <w:rStyle w:val="CharStyle3"/>
          <w:color w:val="2196D1"/>
        </w:rPr>
        <w:t xml:space="preserve">onigson, S.G. Lunneryd,</w:t>
      </w:r>
      <w:r>
        <w:fldChar w:fldCharType="end"/>
      </w:r>
      <w:r>
        <w:rPr>
          <w:rStyle w:val="CharStyle3"/>
          <w:color w:val="2196D1"/>
        </w:rPr>
        <w:t xml:space="preserve"> </w:t>
      </w:r>
      <w:r>
        <w:fldChar w:fldCharType="begin"/>
      </w:r>
      <w:r>
        <w:rPr/>
        <w:instrText> HYPERLINK "http://refhub.elsevier.com/S0308-597X(23)00211-7/sbref51" </w:instrText>
      </w:r>
      <w:r>
        <w:fldChar w:fldCharType="separate"/>
      </w:r>
      <w:r>
        <w:rPr>
          <w:rStyle w:val="CharStyle3"/>
          <w:color w:val="2196D1"/>
        </w:rPr>
        <w:t xml:space="preserve">A. Persson, S. Waldo, Local attitudes towards management measures for the co-</w:t>
      </w:r>
      <w:r>
        <w:fldChar w:fldCharType="end"/>
      </w:r>
      <w:r>
        <w:rPr>
          <w:rStyle w:val="CharStyle3"/>
          <w:color w:val="2196D1"/>
        </w:rPr>
        <w:t xml:space="preserve"> </w:t>
      </w:r>
      <w:r>
        <w:fldChar w:fldCharType="begin"/>
      </w:r>
      <w:r>
        <w:rPr/>
        <w:instrText> HYPERLINK "http://refhub.elsevier.com/S0308-597X(23)00211-7/sbref51" </w:instrText>
      </w:r>
      <w:r>
        <w:fldChar w:fldCharType="separate"/>
      </w:r>
      <w:r>
        <w:rPr>
          <w:rStyle w:val="CharStyle3"/>
          <w:color w:val="2196D1"/>
        </w:rPr>
        <w:t xml:space="preserve">existence of seals and coastal fishery – a Swedish case study, Mar. Policy 18 (2020),</w:t>
      </w:r>
      <w:r>
        <w:fldChar w:fldCharType="end"/>
      </w:r>
      <w:r>
        <w:rPr>
          <w:rStyle w:val="CharStyle3"/>
          <w:color w:val="2196D1"/>
        </w:rPr>
        <w:t xml:space="preserve"> </w:t>
      </w:r>
      <w:r>
        <w:fldChar w:fldCharType="begin"/>
      </w:r>
      <w:r>
        <w:rPr/>
        <w:instrText> HYPERLINK "http://refhub.elsevier.com/S0308-597X(23)00211-7/sbref51" </w:instrText>
      </w:r>
      <w:r>
        <w:fldChar w:fldCharType="separate"/>
      </w:r>
      <w:r>
        <w:rPr>
          <w:rStyle w:val="CharStyle3"/>
          <w:color w:val="2196D1"/>
        </w:rPr>
        <w:t>104018</w:t>
      </w:r>
      <w:r>
        <w:fldChar w:fldCharType="end"/>
      </w:r>
      <w:r>
        <w:rPr>
          <w:rStyle w:val="CharStyle3"/>
        </w:rPr>
        <w:t>.</w:t>
      </w:r>
      <w:bookmarkEnd w:id="113"/>
    </w:p>
    <w:p>
      <w:pPr>
        <w:pStyle w:val="Style2"/>
        <w:keepNext w:val="0"/>
        <w:keepLines w:val="0"/>
        <w:widowControl w:val="0"/>
        <w:numPr>
          <w:ilvl w:val="0"/>
          <w:numId w:val="9"/>
        </w:numPr>
        <w:shd w:val="clear" w:color="auto" w:fill="auto"/>
        <w:tabs>
          <w:tab w:pos="356" w:val="left"/>
        </w:tabs>
        <w:spacing w:before="0" w:after="0"/>
        <w:ind w:right="0"/>
        <w:jc w:val="left"/>
      </w:pPr>
      <w:bookmarkStart w:id="114" w:name="bookmark114"/>
      <w:r>
        <w:rPr>
          <w:rStyle w:val="CharStyle3"/>
        </w:rPr>
        <w:t xml:space="preserve">Waldo, S., Love</w:t>
      </w:r>
      <w:r>
        <w:rPr>
          <w:rStyle w:val="CharStyle3"/>
          <w:sz w:val="11"/>
        </w:rPr>
        <w:t xml:space="preserve"> ́</w:t>
      </w:r>
      <w:r>
        <w:rPr>
          <w:rStyle w:val="CharStyle3"/>
        </w:rPr>
        <w:t xml:space="preserve">n, I. 2019. V</w:t>
      </w:r>
      <w:r>
        <w:rPr>
          <w:rStyle w:val="CharStyle3"/>
          <w:sz w:val="11"/>
        </w:rPr>
        <w:t xml:space="preserve"> ̈</w:t>
      </w:r>
      <w:r>
        <w:rPr>
          <w:rStyle w:val="CharStyle3"/>
        </w:rPr>
        <w:t xml:space="preserve">Species in Swedish commercial fishing. Report 2019: 1, AgriFood Economics Centre. (in Swedish).</w:t>
      </w:r>
      <w:bookmarkEnd w:id="114"/>
    </w:p>
    <w:p>
      <w:pPr>
        <w:pStyle w:val="Style2"/>
        <w:keepNext w:val="0"/>
        <w:keepLines w:val="0"/>
        <w:widowControl w:val="0"/>
        <w:numPr>
          <w:ilvl w:val="0"/>
          <w:numId w:val="9"/>
        </w:numPr>
        <w:shd w:val="clear" w:color="auto" w:fill="auto"/>
        <w:tabs>
          <w:tab w:pos="356" w:val="left"/>
        </w:tabs>
        <w:spacing w:before="0" w:after="0"/>
        <w:ind w:right="0"/>
        <w:jc w:val="left"/>
      </w:pPr>
      <w:bookmarkStart w:id="115" w:name="bookmark115"/>
      <w:r>
        <w:rPr>
          <w:rStyle w:val="CharStyle3"/>
        </w:rPr>
        <w:t xml:space="preserve">S. Waldo, A. Paulrud, J. Blomquist, The economic costs of seal presence in Swedish scale fisheries, ICES J. Mar. SCI. 77 (2020)</w:t>
      </w:r>
      <w:r>
        <w:rPr>
          <w:rStyle w:val="CharStyle3"/>
          <w:sz w:val="11"/>
        </w:rPr>
        <w:t>815-825</w:t>
      </w:r>
      <w:r>
        <w:rPr>
          <w:rStyle w:val="CharStyle3"/>
        </w:rPr>
        <w:t xml:space="preserve">, https://doi.org/ </w:t>
      </w:r>
      <w:r>
        <w:fldChar w:fldCharType="begin"/>
      </w:r>
      <w:r>
        <w:rPr/>
        <w:instrText> HYPERLINK "https://doi.org/10.1093/icesjms/fsz221" </w:instrText>
      </w:r>
      <w:r>
        <w:fldChar w:fldCharType="separate"/>
      </w:r>
      <w:r>
        <w:rPr>
          <w:rStyle w:val="CharStyle3"/>
          <w:color w:val="2196D1"/>
        </w:rPr>
      </w:r>
      <w:r>
        <w:fldChar w:fldCharType="end"/>
      </w:r>
      <w:r>
        <w:rPr>
          <w:rStyle w:val="CharStyle3"/>
          <w:color w:val="2196D1"/>
        </w:rPr>
        <w:t xml:space="preserve"> </w:t>
      </w:r>
      <w:r>
        <w:fldChar w:fldCharType="begin"/>
      </w:r>
      <w:r>
        <w:rPr/>
        <w:instrText> HYPERLINK "https://doi.org/10.1093/icesjms/fsz221" </w:instrText>
      </w:r>
      <w:r>
        <w:fldChar w:fldCharType="separate"/>
      </w:r>
      <w:r>
        <w:rPr>
          <w:rStyle w:val="CharStyle3"/>
          <w:color w:val="2196D1"/>
        </w:rPr>
        <w:t>10.1093/icesjms/fsz221</w:t>
      </w:r>
      <w:r>
        <w:fldChar w:fldCharType="end"/>
      </w:r>
      <w:r>
        <w:rPr>
          <w:rStyle w:val="CharStyle3"/>
        </w:rPr>
        <w:t>.</w:t>
      </w:r>
      <w:bookmarkEnd w:id="115"/>
    </w:p>
    <w:p>
      <w:pPr>
        <w:pStyle w:val="Style2"/>
        <w:keepNext w:val="0"/>
        <w:keepLines w:val="0"/>
        <w:widowControl w:val="0"/>
        <w:numPr>
          <w:ilvl w:val="0"/>
          <w:numId w:val="9"/>
        </w:numPr>
        <w:shd w:val="clear" w:color="auto" w:fill="auto"/>
        <w:tabs>
          <w:tab w:pos="356" w:val="left"/>
        </w:tabs>
        <w:spacing w:before="0" w:after="0"/>
        <w:ind w:right="0"/>
        <w:jc w:val="left"/>
      </w:pPr>
      <w:r>
        <w:fldChar w:fldCharType="begin"/>
      </w:r>
      <w:r>
        <w:rPr/>
        <w:instrText> HYPERLINK "http://refhub.elsevier.com/S0308-597X(23)00211-7/sbref53" </w:instrText>
      </w:r>
      <w:r>
        <w:fldChar w:fldCharType="separate"/>
      </w:r>
      <w:bookmarkStart w:id="116" w:name="bookmark116"/>
      <w:r>
        <w:rPr>
          <w:rStyle w:val="CharStyle3"/>
          <w:color w:val="2196D1"/>
        </w:rPr>
        <w:t xml:space="preserve">H. Westerberg, S. Lunneryd, A.B. Fj</w:t>
      </w:r>
      <w:r>
        <w:rPr>
          <w:rStyle w:val="CharStyle3"/>
          <w:color w:val="2196D1"/>
          <w:sz w:val="11"/>
        </w:rPr>
        <w:t xml:space="preserve"> ̈</w:t>
      </w:r>
      <w:r>
        <w:rPr>
          <w:rStyle w:val="CharStyle3"/>
          <w:color w:val="2196D1"/>
        </w:rPr>
        <w:t xml:space="preserve">alling, M. Wahlberg, Reconciling fisheries</w:t>
      </w:r>
      <w:r>
        <w:fldChar w:fldCharType="end"/>
      </w:r>
      <w:r>
        <w:rPr>
          <w:rStyle w:val="CharStyle3"/>
          <w:color w:val="2196D1"/>
        </w:rPr>
        <w:t xml:space="preserve"> </w:t>
      </w:r>
      <w:r>
        <w:fldChar w:fldCharType="begin"/>
      </w:r>
      <w:r>
        <w:rPr/>
        <w:instrText> HYPERLINK "http://refhub.elsevier.com/S0308-597X(23)00211-7/sbref53" </w:instrText>
      </w:r>
      <w:r>
        <w:fldChar w:fldCharType="separate"/>
      </w:r>
      <w:r>
        <w:rPr>
          <w:rStyle w:val="CharStyle3"/>
          <w:color w:val="2196D1"/>
        </w:rPr>
        <w:t xml:space="preserve">activities with the conservation of seeds through the development of new fishing</w:t>
      </w:r>
      <w:r>
        <w:fldChar w:fldCharType="end"/>
      </w:r>
      <w:r>
        <w:rPr>
          <w:rStyle w:val="CharStyle3"/>
          <w:color w:val="2196D1"/>
        </w:rPr>
        <w:t xml:space="preserve"> </w:t>
      </w:r>
      <w:r>
        <w:fldChar w:fldCharType="begin"/>
      </w:r>
      <w:r>
        <w:rPr/>
        <w:instrText> HYPERLINK "http://refhub.elsevier.com/S0308-597X(23)00211-7/sbref53" </w:instrText>
      </w:r>
      <w:r>
        <w:fldChar w:fldCharType="separate"/>
      </w:r>
      <w:r>
        <w:rPr>
          <w:rStyle w:val="CharStyle3"/>
          <w:color w:val="2196D1"/>
        </w:rPr>
        <w:t xml:space="preserve">gear: a case study from the Baltic fishery-grey seal conflict, Am. Fish. SOC. Symp. 49</w:t>
      </w:r>
      <w:r>
        <w:fldChar w:fldCharType="end"/>
      </w:r>
      <w:r>
        <w:rPr>
          <w:rStyle w:val="CharStyle3"/>
          <w:color w:val="2196D1"/>
        </w:rPr>
        <w:t xml:space="preserve"> </w:t>
      </w:r>
      <w:r>
        <w:fldChar w:fldCharType="begin"/>
      </w:r>
      <w:r>
        <w:rPr/>
        <w:instrText> HYPERLINK "http://refhub.elsevier.com/S0308-597X(23)00211-7/sbref53" </w:instrText>
      </w:r>
      <w:r>
        <w:fldChar w:fldCharType="separate"/>
      </w:r>
      <w:r>
        <w:rPr>
          <w:rStyle w:val="CharStyle3"/>
          <w:color w:val="2196D1"/>
        </w:rPr>
        <w:t>(2006)</w:t>
      </w:r>
      <w:r>
        <w:rPr>
          <w:rStyle w:val="CharStyle3"/>
          <w:color w:val="2196D1"/>
          <w:sz w:val="11"/>
        </w:rPr>
      </w:r>
      <w:r>
        <w:rPr>
          <w:rStyle w:val="CharStyle3"/>
          <w:color w:val="2196D1"/>
        </w:rPr>
        <w:t>587-598</w:t>
      </w:r>
      <w:r>
        <w:fldChar w:fldCharType="end"/>
      </w:r>
      <w:r>
        <w:rPr>
          <w:rStyle w:val="CharStyle3"/>
        </w:rPr>
        <w:t>.</w:t>
      </w:r>
      <w:bookmarkEnd w:id="116"/>
    </w:p>
    <w:p>
      <w:pPr>
        <w:pStyle w:val="Style2"/>
        <w:keepNext w:val="0"/>
        <w:keepLines w:val="0"/>
        <w:widowControl w:val="0"/>
        <w:numPr>
          <w:ilvl w:val="0"/>
          <w:numId w:val="9"/>
        </w:numPr>
        <w:shd w:val="clear" w:color="auto" w:fill="auto"/>
        <w:tabs>
          <w:tab w:pos="356" w:val="left"/>
        </w:tabs>
        <w:spacing w:before="0" w:after="0"/>
        <w:ind w:left="0" w:right="0" w:firstLine="0"/>
        <w:jc w:val="left"/>
      </w:pPr>
      <w:r>
        <w:rPr>
          <w:rStyle w:val="CharStyle3"/>
        </w:rPr>
        <w:t xml:space="preserve">F. Ziegler, K. Nilsson, N. Levermann, M. Dorph, B. Lyberth, A.A. Jessen, Judges,</w:t>
      </w:r>
    </w:p>
    <w:p>
      <w:pPr>
        <w:pStyle w:val="Style2"/>
        <w:keepNext w:val="0"/>
        <w:keepLines w:val="0"/>
        <w:widowControl w:val="0"/>
        <w:shd w:val="clear" w:color="auto" w:fill="auto"/>
        <w:spacing w:before="0" w:after="0"/>
        <w:ind w:right="0" w:firstLine="0"/>
        <w:jc w:val="left"/>
      </w:pPr>
      <w:r>
        <w:rPr>
          <w:rStyle w:val="CharStyle3"/>
        </w:rPr>
        <w:t xml:space="preserve">G. Desportes, Local seal or imported meat? Sustainability evaluation of food choices in Greenland, based on life cycle assessment, Foods 2021 (10) (2021) 1194, </w:t>
      </w:r>
      <w:r>
        <w:fldChar w:fldCharType="begin"/>
      </w:r>
      <w:r>
        <w:rPr/>
        <w:instrText> HYPERLINK "https://doi.org/10.3390/foods10061194" </w:instrText>
      </w:r>
      <w:r>
        <w:fldChar w:fldCharType="separate"/>
      </w:r>
      <w:r>
        <w:rPr>
          <w:rStyle w:val="CharStyle3"/>
          <w:color w:val="2196D1"/>
        </w:rPr>
        <w:t>https://doi.org/10.3390/foods10061194</w:t>
      </w:r>
      <w:r>
        <w:fldChar w:fldCharType="end"/>
      </w:r>
      <w:r>
        <w:rPr>
          <w:rStyle w:val="CharStyle3"/>
        </w:rPr>
        <w:t>.</w:t>
      </w:r>
    </w:p>
    <w:sectPr>
      <w:footnotePr>
        <w:pos w:val="pageBottom"/>
        <w:numFmt w:val="decimal"/>
        <w:numRestart w:val="continuous"/>
      </w:footnotePr>
      <w:type w:val="continuous"/>
      <w:pgSz w:w="12240" w:h="15840"/>
      <w:pgMar w:top="966" w:right="924" w:bottom="1156" w:left="900" w:header="0" w:footer="3" w:gutter="0"/>
      <w:cols w:num="2" w:space="343"/>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3871595</wp:posOffset>
              </wp:positionH>
              <wp:positionV relativeFrom="page">
                <wp:posOffset>9613900</wp:posOffset>
              </wp:positionV>
              <wp:extent cx="39370" cy="54610"/>
              <wp:wrapNone/>
              <wp:docPr id="11" name="SHAPE 11"/>
              <a:graphic xmlns:a="http://schemas.openxmlformats.org/drawingml/2006/main">
                <a:graphicData uri="http://schemas.microsoft.com/office/word/2010/wordprocessingShape">
                  <wps:wsp>
                    <wps:cNvSpPr txBox="1"/>
                    <wps:spPr>
                      <a:xfrm>
                        <a:ext cx="39370" cy="54610"/>
                      </a:xfrm>
                      <a:prstGeom prst="rect"/>
                      <a:noFill/>
                    </wps:spPr>
                    <wps:txbx>
                      <w:txbxContent>
                        <w:p>
                          <w:pPr>
                            <w:pStyle w:val="Style9"/>
                            <w:keepNext w:val="0"/>
                            <w:keepLines w:val="0"/>
                            <w:widowControl w:val="0"/>
                            <w:shd w:val="clear" w:color="auto" w:fill="auto"/>
                            <w:spacing w:before="0" w:after="0" w:line="240" w:lineRule="auto"/>
                            <w:ind w:left="0" w:right="0" w:firstLine="0"/>
                            <w:jc w:val="left"/>
                            <w:rPr>
                              <w:sz w:val="12"/>
                            </w:rPr>
                          </w:pPr>
                          <w:fldSimple w:instr=" PAGE \* MERGEFORMAT ">
                            <w:r>
                              <w:rPr>
                                <w:rStyle w:val="CharStyle10"/>
                                <w:sz w:val="12"/>
                                <w:szCs w:val="12"/>
                              </w:rPr>
                              <w:t>#</w:t>
                            </w:r>
                          </w:fldSimple>
                        </w:p>
                      </w:txbxContent>
                    </wps:txbx>
                    <wps:bodyPr wrap="none" lIns="0" tIns="0" rIns="0" bIns="0">
                      <a:spAutoFit/>
                    </wps:bodyPr>
                  </wps:wsp>
                </a:graphicData>
              </a:graphic>
            </wp:anchor>
          </w:drawing>
        </mc:Choice>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footnote>
  <w:footnote w:id="1" w:type="continuationSeparato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582930</wp:posOffset>
              </wp:positionH>
              <wp:positionV relativeFrom="page">
                <wp:posOffset>452120</wp:posOffset>
              </wp:positionV>
              <wp:extent cx="6610985" cy="79375"/>
              <wp:wrapNone/>
              <wp:docPr id="9" name="SHAPE 9"/>
              <a:graphic xmlns:a="http://schemas.openxmlformats.org/drawingml/2006/main">
                <a:graphicData uri="http://schemas.microsoft.com/office/word/2010/wordprocessingShape">
                  <wps:wsp>
                    <wps:cNvSpPr txBox="1"/>
                    <wps:spPr>
                      <a:xfrm>
                        <a:ext cx="6610985" cy="79375"/>
                      </a:xfrm>
                      <a:prstGeom prst="rect"/>
                      <a:noFill/>
                    </wps:spPr>
                    <wps:txbx>
                      <w:txbxContent>
                        <w:p>
                          <w:pPr>
                            <w:pStyle w:val="Style9"/>
                            <w:keepNext w:val="0"/>
                            <w:keepLines w:val="0"/>
                            <w:widowControl w:val="0"/>
                            <w:shd w:val="clear" w:color="auto" w:fill="auto"/>
                            <w:tabs>
                              <w:tab w:pos="10411" w:val="right"/>
                            </w:tabs>
                            <w:spacing w:before="0" w:after="0" w:line="240" w:lineRule="auto"/>
                            <w:ind w:left="0" w:right="0" w:firstLine="0"/>
                            <w:jc w:val="left"/>
                            <w:rPr>
                              <w:sz w:val="12"/>
                            </w:rPr>
                          </w:pPr>
                          <w:r>
                            <w:rPr>
                              <w:rStyle w:val="CharStyle10"/>
                              <w:rFonts w:ascii="Arial" w:hAnsi="Arial" w:cs="Arial" w:eastAsia="Arial"/>
                              <w:i/>
                              <w:sz w:val="12"/>
                            </w:rPr>
                            <w:t xml:space="preserve">P. Suuronen et al.</w:t>
                            <w:tab/>
                          </w:r>
                          <w:r>
                            <w:rPr>
                              <w:rStyle w:val="CharStyle10"/>
                              <w:i/>
                              <w:sz w:val="12"/>
                            </w:rPr>
                            <w:t xml:space="preserve">M a rin e P o Policy 155 (2023) 105684</w:t>
                          </w:r>
                        </w:p>
                      </w:txbxContent>
                    </wps:txbx>
                    <wps:bodyPr lIns="0" tIns="0" rIns="0" bIns="0">
                      <a:spAutoFit/>
                    </wps:bodyPr>
                  </wps:wsp>
                </a:graphicData>
              </a:graphic>
            </wp:anchor>
          </w:drawing>
        </mc:Choice>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3197225</wp:posOffset>
              </wp:positionH>
              <wp:positionV relativeFrom="page">
                <wp:posOffset>458470</wp:posOffset>
              </wp:positionV>
              <wp:extent cx="1368425" cy="88265"/>
              <wp:wrapNone/>
              <wp:docPr id="13" name="SHAPE 13"/>
              <a:graphic xmlns:a="http://schemas.openxmlformats.org/drawingml/2006/main">
                <a:graphicData uri="http://schemas.microsoft.com/office/word/2010/wordprocessingShape">
                  <wps:wsp>
                    <wps:cNvSpPr txBox="1"/>
                    <wps:spPr>
                      <a:xfrm>
                        <a:ext cx="1368425" cy="88265"/>
                      </a:xfrm>
                      <a:prstGeom prst="rect"/>
                      <a:noFill/>
                    </wps:spPr>
                    <wps:txbx>
                      <w:txbxContent>
                        <w:p>
                          <w:pPr>
                            <w:pStyle w:val="Style9"/>
                            <w:keepNext w:val="0"/>
                            <w:keepLines w:val="0"/>
                            <w:widowControl w:val="0"/>
                            <w:shd w:val="clear" w:color="auto" w:fill="auto"/>
                            <w:spacing w:before="0" w:after="0" w:line="240" w:lineRule="auto"/>
                            <w:ind w:left="0" w:right="0" w:firstLine="0"/>
                            <w:jc w:val="left"/>
                            <w:rPr>
                              <w:sz w:val="14"/>
                            </w:rPr>
                          </w:pPr>
                          <w:r>
                            <w:rPr>
                              <w:rStyle w:val="CharStyle10"/>
                              <w:color w:val="00769F"/>
                              <w:sz w:val="14"/>
                            </w:rPr>
                            <w:t xml:space="preserve">Marine Policy 155 (2023) 105684</w:t>
                          </w:r>
                        </w:p>
                      </w:txbxContent>
                    </wps:txbx>
                    <wps:bodyPr wrap="none" lIns="0" tIns="0" rIns="0" bIns="0">
                      <a:spAutoFit/>
                    </wps:bodyPr>
                  </wps:wsp>
                </a:graphicData>
              </a:graphic>
            </wp:anchor>
          </w:drawing>
        </mc:Choice>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Arial" w:eastAsia="Arial" w:hAnsi="Arial" w:cs="Arial"/>
        <w:b/>
        <w:bCs/>
        <w:i w:val="0"/>
        <w:iCs w:val="0"/>
        <w:smallCaps w:val="0"/>
        <w:strike w:val="0"/>
        <w:color w:val="000000"/>
        <w:spacing w:val="0"/>
        <w:w w:val="100"/>
        <w:position w:val="0"/>
        <w:sz w:val="15"/>
        <w:szCs w:val="15"/>
        <w:u w:val="none"/>
        <w:shd w:val="clear" w:color="auto" w:fill="auto"/>
        <w:lang w:val="sv-SE" w:eastAsia="sv-SE" w:bidi="sv-SE"/>
      </w:rPr>
    </w:lvl>
    <w:lvl w:ilvl="1">
      <w:start w:val="1"/>
      <w:numFmt w:val="decimal"/>
      <w:lvlText w:val="%1.%2."/>
      <w:rPr>
        <w:rFonts w:ascii="Arial" w:eastAsia="Arial" w:hAnsi="Arial" w:cs="Arial"/>
        <w:b w:val="0"/>
        <w:bCs w:val="0"/>
        <w:i/>
        <w:iCs/>
        <w:smallCaps w:val="0"/>
        <w:strike w:val="0"/>
        <w:color w:val="000000"/>
        <w:spacing w:val="0"/>
        <w:w w:val="100"/>
        <w:position w:val="0"/>
        <w:sz w:val="15"/>
        <w:szCs w:val="15"/>
        <w:u w:val="none"/>
        <w:shd w:val="clear" w:color="auto" w:fill="auto"/>
        <w:lang w:val="sv-SE" w:eastAsia="sv-SE" w:bidi="sv-SE"/>
      </w:rPr>
    </w:lvl>
    <w:lvl w:ilvl="2">
      <w:start w:val="1"/>
      <w:numFmt w:val="decimal"/>
      <w:lvlText w:val="%1.%2.%3."/>
      <w:rPr>
        <w:rFonts w:ascii="Arial" w:eastAsia="Arial" w:hAnsi="Arial" w:cs="Arial"/>
        <w:b w:val="0"/>
        <w:bCs w:val="0"/>
        <w:i/>
        <w:iCs/>
        <w:smallCaps w:val="0"/>
        <w:strike w:val="0"/>
        <w:color w:val="000000"/>
        <w:spacing w:val="0"/>
        <w:w w:val="100"/>
        <w:position w:val="0"/>
        <w:sz w:val="15"/>
        <w:szCs w:val="15"/>
        <w:u w:val="none"/>
        <w:shd w:val="clear" w:color="auto" w:fill="auto"/>
        <w:lang w:val="sv-SE" w:eastAsia="sv-SE" w:bidi="sv-SE"/>
      </w:rPr>
    </w:lvl>
  </w:abstractNum>
  <w:abstractNum w:abstractNumId="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14"/>
        <w:szCs w:val="14"/>
        <w:u w:val="none"/>
        <w:shd w:val="clear" w:color="auto" w:fill="auto"/>
        <w:lang w:val="sv-SE" w:eastAsia="sv-SE" w:bidi="sv-SE"/>
      </w:rPr>
    </w:lvl>
  </w:abstractNum>
  <w:abstractNum w:abstractNumId="4">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14"/>
        <w:szCs w:val="14"/>
        <w:u w:val="none"/>
        <w:shd w:val="clear" w:color="auto" w:fill="auto"/>
        <w:lang w:val="sv-SE" w:eastAsia="sv-SE" w:bidi="sv-SE"/>
      </w:rPr>
    </w:lvl>
  </w:abstractNum>
  <w:abstractNum w:abstractNumId="6">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14"/>
        <w:szCs w:val="14"/>
        <w:u w:val="none"/>
        <w:shd w:val="clear" w:color="auto" w:fill="auto"/>
        <w:lang w:val="sv-SE" w:eastAsia="sv-SE" w:bidi="sv-SE"/>
      </w:rPr>
    </w:lvl>
  </w:abstractNum>
  <w:abstractNum w:abstractNumId="8">
    <w:multiLevelType w:val="multilevel"/>
    <w:lvl w:ilvl="0">
      <w:start w:val="1"/>
      <w:numFmt w:val="decimal"/>
      <w:lvlText w:val="[%1]"/>
      <w:rPr>
        <w:rFonts w:ascii="Arial" w:eastAsia="Arial" w:hAnsi="Arial" w:cs="Arial"/>
        <w:b w:val="0"/>
        <w:bCs w:val="0"/>
        <w:i w:val="0"/>
        <w:iCs w:val="0"/>
        <w:smallCaps w:val="0"/>
        <w:strike w:val="0"/>
        <w:color w:val="000000"/>
        <w:spacing w:val="0"/>
        <w:w w:val="100"/>
        <w:position w:val="0"/>
        <w:sz w:val="12"/>
        <w:szCs w:val="12"/>
        <w:u w:val="none"/>
        <w:shd w:val="clear" w:color="auto" w:fill="auto"/>
        <w:lang w:val="sv-SE" w:eastAsia="sv-SE" w:bidi="sv-SE"/>
      </w:rPr>
    </w:lvl>
  </w:abstractNum>
  <w:num w:numId="1">
    <w:abstractNumId w:val="0"/>
  </w:num>
  <w:num w:numId="3">
    <w:abstractNumId w:val="2"/>
  </w:num>
  <w:num w:numId="5">
    <w:abstractNumId w:val="4"/>
  </w:num>
  <w:num w:numId="7">
    <w:abstractNumId w:val="6"/>
  </w:num>
  <w:num w:numId="9">
    <w:abstractNumId w:val="8"/>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updateFields w:val="true"/>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pPrDefault>
      <w:pPr>
        <w:keepNext w:val="0"/>
        <w:keepLines w:val="0"/>
        <w:widowControl w:val="0"/>
        <w:shd w:val="clear" w:color="auto" w:fill="auto"/>
        <w:spacing w:before="0" w:after="0" w:line="240" w:lineRule="auto"/>
        <w:ind w:left="0" w:right="0" w:firstLine="0"/>
        <w:jc w:val="left"/>
      </w:pPr>
    </w:pPrDefault>
    <w:rPrDefault>
      <w:rPr>
        <w:rFonts w:ascii="Times New Roman" w:hAnsi="Times New Roman" w:cs="Times New Roman" w:eastAsia="Times New Roman"/>
        <w:sz w:val="24"/>
        <w:lang w:val="en"/>
      </w:rPr>
    </w:rPrDefault>
  </w:docDefaults>
  <w:style w:type="paragraph" w:default="1" w:styleId="Normal">
    <w:name w:val="Normal"/>
    <w:pPr>
      <w:keepNext w:val="0"/>
      <w:keepLines w:val="0"/>
      <w:widowControl w:val="0"/>
      <w:shd w:val="clear" w:color="auto" w:fill="auto"/>
      <w:spacing w:before="0" w:after="0" w:line="240" w:lineRule="auto"/>
      <w:ind w:left="0" w:right="0" w:firstLine="0"/>
      <w:jc w:val="left"/>
    </w:pPr>
    <w:rPr>
      <w:rFonts w:ascii="Times New Roman" w:hAnsi="Times New Roman" w:cs="Times New Roman" w:eastAsia="Times New Roman"/>
      <w:color w:val="000000"/>
      <w:position w:val="0"/>
      <w:sz w:val="24"/>
      <w:shd w:val="clear" w:color="auto" w:fill="auto"/>
    </w:rPr>
  </w:style>
  <w:style w:type="character" w:default="1" w:styleId="DefaultParagraphFont">
    <w:name w:val="Default Paragraph Font"/>
    <w:rPr>
      <w:rFonts w:ascii="Times New Roman" w:hAnsi="Times New Roman" w:cs="Times New Roman" w:eastAsia="Times New Roman"/>
      <w:color w:val="000000"/>
      <w:position w:val="0"/>
      <w:sz w:val="24"/>
      <w:shd w:val="clear" w:color="auto" w:fill="auto"/>
    </w:rPr>
  </w:style>
  <w:style w:type="character" w:customStyle="1" w:styleId="CharStyle3">
    <w:name w:val="Body text|2_"/>
    <w:basedOn w:val="DefaultParagraphFont"/>
    <w:link w:val="Style2"/>
    <w:rPr>
      <w:rFonts w:ascii="Arial" w:hAnsi="Arial" w:cs="Arial" w:eastAsia="Arial"/>
      <w:b w:val="0"/>
      <w:i w:val="0"/>
      <w:smallCaps w:val="0"/>
      <w:strike w:val="0"/>
      <w:sz w:val="12"/>
      <w:u w:val="none"/>
    </w:rPr>
  </w:style>
  <w:style w:type="character" w:customStyle="1" w:styleId="CharStyle7">
    <w:name w:val="Body text|1_"/>
    <w:basedOn w:val="DefaultParagraphFont"/>
    <w:link w:val="Style6"/>
    <w:rPr>
      <w:rFonts w:ascii="Arial" w:hAnsi="Arial" w:cs="Arial" w:eastAsia="Arial"/>
      <w:b w:val="0"/>
      <w:i w:val="0"/>
      <w:smallCaps w:val="0"/>
      <w:strike w:val="0"/>
      <w:sz w:val="15"/>
      <w:u w:val="none"/>
    </w:rPr>
  </w:style>
  <w:style w:type="character" w:customStyle="1" w:styleId="CharStyle10">
    <w:name w:val="Header or footer|2_"/>
    <w:basedOn w:val="DefaultParagraphFont"/>
    <w:link w:val="Style9"/>
    <w:rPr>
      <w:b w:val="0"/>
      <w:i w:val="0"/>
      <w:smallCaps w:val="0"/>
      <w:strike w:val="0"/>
      <w:sz w:val="20"/>
      <w:u w:val="none"/>
    </w:rPr>
  </w:style>
  <w:style w:type="character" w:customStyle="1" w:styleId="CharStyle13">
    <w:name w:val="Other|1_"/>
    <w:basedOn w:val="DefaultParagraphFont"/>
    <w:link w:val="Style12"/>
    <w:rPr>
      <w:rFonts w:ascii="Arial" w:hAnsi="Arial" w:cs="Arial" w:eastAsia="Arial"/>
      <w:b w:val="0"/>
      <w:i w:val="0"/>
      <w:smallCaps w:val="0"/>
      <w:strike w:val="0"/>
      <w:sz w:val="15"/>
      <w:u w:val="none"/>
    </w:rPr>
  </w:style>
  <w:style w:type="character" w:customStyle="1" w:styleId="CharStyle19">
    <w:name w:val="Heading #1|1_"/>
    <w:basedOn w:val="DefaultParagraphFont"/>
    <w:link w:val="Style18"/>
    <w:rPr>
      <w:rFonts w:ascii="Arial" w:hAnsi="Arial" w:cs="Arial" w:eastAsia="Arial"/>
      <w:b w:val="0"/>
      <w:i w:val="0"/>
      <w:smallCaps w:val="0"/>
      <w:strike w:val="0"/>
      <w:u w:val="none"/>
    </w:rPr>
  </w:style>
  <w:style w:type="character" w:customStyle="1" w:styleId="CharStyle24">
    <w:name w:val="Body text|3_"/>
    <w:basedOn w:val="DefaultParagraphFont"/>
    <w:link w:val="Style23"/>
    <w:rPr>
      <w:rFonts w:ascii="Courier New" w:hAnsi="Courier New" w:cs="Courier New" w:eastAsia="Courier New"/>
      <w:b w:val="0"/>
      <w:i w:val="0"/>
      <w:smallCaps w:val="0"/>
      <w:strike w:val="0"/>
      <w:sz w:val="12"/>
      <w:u w:val="none"/>
    </w:rPr>
  </w:style>
  <w:style w:type="character" w:customStyle="1" w:styleId="CharStyle30">
    <w:name w:val="Picture caption|1_"/>
    <w:basedOn w:val="DefaultParagraphFont"/>
    <w:link w:val="Style29"/>
    <w:rPr>
      <w:rFonts w:ascii="Courier New" w:hAnsi="Courier New" w:cs="Courier New" w:eastAsia="Courier New"/>
      <w:b w:val="0"/>
      <w:i w:val="0"/>
      <w:smallCaps w:val="0"/>
      <w:strike w:val="0"/>
      <w:sz w:val="12"/>
      <w:u w:val="none"/>
    </w:rPr>
  </w:style>
  <w:style w:type="character" w:customStyle="1" w:styleId="CharStyle47">
    <w:name w:val="Heading #2|1_"/>
    <w:basedOn w:val="DefaultParagraphFont"/>
    <w:link w:val="Style46"/>
    <w:rPr>
      <w:rFonts w:ascii="Arial" w:hAnsi="Arial" w:cs="Arial" w:eastAsia="Arial"/>
      <w:b/>
      <w:i w:val="0"/>
      <w:smallCaps w:val="0"/>
      <w:strike w:val="0"/>
      <w:sz w:val="15"/>
      <w:u w:val="none"/>
    </w:rPr>
  </w:style>
  <w:style w:type="character" w:customStyle="1" w:styleId="CharStyle57">
    <w:name w:val="Heading #3|1_"/>
    <w:basedOn w:val="DefaultParagraphFont"/>
    <w:link w:val="Style56"/>
    <w:rPr>
      <w:rFonts w:ascii="Arial" w:hAnsi="Arial" w:cs="Arial" w:eastAsia="Arial"/>
      <w:b w:val="0"/>
      <w:i/>
      <w:smallCaps w:val="0"/>
      <w:strike w:val="0"/>
      <w:sz w:val="15"/>
      <w:u w:val="none"/>
    </w:rPr>
  </w:style>
  <w:style w:type="character" w:customStyle="1" w:styleId="CharStyle62">
    <w:name w:val="Heading #4|1_"/>
    <w:basedOn w:val="DefaultParagraphFont"/>
    <w:link w:val="Style61"/>
    <w:rPr>
      <w:rFonts w:ascii="Arial" w:hAnsi="Arial" w:cs="Arial" w:eastAsia="Arial"/>
      <w:b w:val="0"/>
      <w:i/>
      <w:smallCaps w:val="0"/>
      <w:strike w:val="0"/>
      <w:sz w:val="15"/>
      <w:u w:val="none"/>
    </w:rPr>
  </w:style>
  <w:style w:type="character" w:customStyle="1" w:styleId="CharStyle64">
    <w:name w:val="Table caption|1_"/>
    <w:basedOn w:val="DefaultParagraphFont"/>
    <w:link w:val="Style63"/>
    <w:rPr>
      <w:rFonts w:ascii="Arial" w:hAnsi="Arial" w:cs="Arial" w:eastAsia="Arial"/>
      <w:b w:val="0"/>
      <w:i/>
      <w:smallCaps w:val="0"/>
      <w:strike w:val="0"/>
      <w:sz w:val="12"/>
      <w:u w:val="none"/>
    </w:rPr>
  </w:style>
  <w:style w:type="paragraph" w:customStyle="1" w:styleId="Style2">
    <w:name w:val="Body text|2"/>
    <w:basedOn w:val="Normal"/>
    <w:link w:val="CharStyle3"/>
    <w:pPr>
      <w:widowControl w:val="0"/>
      <w:shd w:val="clear" w:color="auto" w:fill="auto"/>
      <w:spacing w:line="276" w:lineRule="auto"/>
      <w:ind w:left="340" w:hanging="340"/>
    </w:pPr>
    <w:rPr>
      <w:rFonts w:ascii="Arial" w:hAnsi="Arial" w:cs="Arial" w:eastAsia="Arial"/>
      <w:b w:val="0"/>
      <w:i w:val="0"/>
      <w:smallCaps w:val="0"/>
      <w:strike w:val="0"/>
      <w:sz w:val="12"/>
      <w:u w:val="none"/>
    </w:rPr>
  </w:style>
  <w:style w:type="paragraph" w:customStyle="1" w:styleId="Style6">
    <w:name w:val="Body text|1"/>
    <w:basedOn w:val="Normal"/>
    <w:link w:val="CharStyle7"/>
    <w:pPr>
      <w:widowControl w:val="0"/>
      <w:shd w:val="clear" w:color="auto" w:fill="auto"/>
      <w:spacing w:line="290" w:lineRule="auto"/>
      <w:ind w:firstLine="260"/>
    </w:pPr>
    <w:rPr>
      <w:rFonts w:ascii="Arial" w:hAnsi="Arial" w:cs="Arial" w:eastAsia="Arial"/>
      <w:b w:val="0"/>
      <w:i w:val="0"/>
      <w:smallCaps w:val="0"/>
      <w:strike w:val="0"/>
      <w:sz w:val="15"/>
      <w:u w:val="none"/>
    </w:rPr>
  </w:style>
  <w:style w:type="paragraph" w:customStyle="1" w:styleId="Style9">
    <w:name w:val="Header or footer|2"/>
    <w:basedOn w:val="Normal"/>
    <w:link w:val="CharStyle10"/>
    <w:pPr>
      <w:widowControl w:val="0"/>
      <w:shd w:val="clear" w:color="auto" w:fill="auto"/>
    </w:pPr>
    <w:rPr>
      <w:b w:val="0"/>
      <w:i w:val="0"/>
      <w:smallCaps w:val="0"/>
      <w:strike w:val="0"/>
      <w:sz w:val="20"/>
      <w:u w:val="none"/>
    </w:rPr>
  </w:style>
  <w:style w:type="paragraph" w:customStyle="1" w:styleId="Style12">
    <w:name w:val="Other|1"/>
    <w:basedOn w:val="Normal"/>
    <w:link w:val="CharStyle13"/>
    <w:pPr>
      <w:widowControl w:val="0"/>
      <w:shd w:val="clear" w:color="auto" w:fill="auto"/>
      <w:spacing w:line="290" w:lineRule="auto"/>
      <w:ind w:firstLine="260"/>
    </w:pPr>
    <w:rPr>
      <w:rFonts w:ascii="Arial" w:hAnsi="Arial" w:cs="Arial" w:eastAsia="Arial"/>
      <w:b w:val="0"/>
      <w:i w:val="0"/>
      <w:smallCaps w:val="0"/>
      <w:strike w:val="0"/>
      <w:sz w:val="15"/>
      <w:u w:val="none"/>
    </w:rPr>
  </w:style>
  <w:style w:type="paragraph" w:customStyle="1" w:styleId="Style18">
    <w:name w:val="Heading #1|1"/>
    <w:basedOn w:val="Normal"/>
    <w:link w:val="CharStyle19"/>
    <w:pPr>
      <w:widowControl w:val="0"/>
      <w:shd w:val="clear" w:color="auto" w:fill="auto"/>
      <w:spacing w:after="80" w:line="300" w:lineRule="auto"/>
      <w:outlineLvl w:val="0"/>
    </w:pPr>
    <w:rPr>
      <w:rFonts w:ascii="Arial" w:hAnsi="Arial" w:cs="Arial" w:eastAsia="Arial"/>
      <w:b w:val="0"/>
      <w:i w:val="0"/>
      <w:smallCaps w:val="0"/>
      <w:strike w:val="0"/>
      <w:u w:val="none"/>
    </w:rPr>
  </w:style>
  <w:style w:type="paragraph" w:customStyle="1" w:styleId="Style23">
    <w:name w:val="Body text|3"/>
    <w:basedOn w:val="Normal"/>
    <w:link w:val="CharStyle24"/>
    <w:pPr>
      <w:widowControl w:val="0"/>
      <w:shd w:val="clear" w:color="auto" w:fill="auto"/>
      <w:spacing w:line="338" w:lineRule="auto"/>
      <w:ind w:left="1660"/>
    </w:pPr>
    <w:rPr>
      <w:rFonts w:ascii="Courier New" w:hAnsi="Courier New" w:cs="Courier New" w:eastAsia="Courier New"/>
      <w:b w:val="0"/>
      <w:i w:val="0"/>
      <w:smallCaps w:val="0"/>
      <w:strike w:val="0"/>
      <w:sz w:val="12"/>
      <w:u w:val="none"/>
    </w:rPr>
  </w:style>
  <w:style w:type="paragraph" w:customStyle="1" w:styleId="Style29">
    <w:name w:val="Picture caption|1"/>
    <w:basedOn w:val="Normal"/>
    <w:link w:val="CharStyle30"/>
    <w:pPr>
      <w:widowControl w:val="0"/>
      <w:shd w:val="clear" w:color="auto" w:fill="auto"/>
    </w:pPr>
    <w:rPr>
      <w:rFonts w:ascii="Courier New" w:hAnsi="Courier New" w:cs="Courier New" w:eastAsia="Courier New"/>
      <w:b w:val="0"/>
      <w:i w:val="0"/>
      <w:smallCaps w:val="0"/>
      <w:strike w:val="0"/>
      <w:sz w:val="12"/>
      <w:u w:val="none"/>
    </w:rPr>
  </w:style>
  <w:style w:type="paragraph" w:customStyle="1" w:styleId="Style46">
    <w:name w:val="Heading #2|1"/>
    <w:basedOn w:val="Normal"/>
    <w:link w:val="CharStyle47"/>
    <w:pPr>
      <w:widowControl w:val="0"/>
      <w:shd w:val="clear" w:color="auto" w:fill="auto"/>
      <w:spacing w:after="200" w:line="293" w:lineRule="auto"/>
      <w:outlineLvl w:val="1"/>
    </w:pPr>
    <w:rPr>
      <w:rFonts w:ascii="Arial" w:hAnsi="Arial" w:cs="Arial" w:eastAsia="Arial"/>
      <w:b/>
      <w:i w:val="0"/>
      <w:smallCaps w:val="0"/>
      <w:strike w:val="0"/>
      <w:sz w:val="15"/>
      <w:u w:val="none"/>
    </w:rPr>
  </w:style>
  <w:style w:type="paragraph" w:customStyle="1" w:styleId="Style56">
    <w:name w:val="Heading #3|1"/>
    <w:basedOn w:val="Normal"/>
    <w:link w:val="CharStyle57"/>
    <w:pPr>
      <w:widowControl w:val="0"/>
      <w:shd w:val="clear" w:color="auto" w:fill="auto"/>
      <w:spacing w:after="200" w:line="290" w:lineRule="auto"/>
      <w:outlineLvl w:val="2"/>
    </w:pPr>
    <w:rPr>
      <w:rFonts w:ascii="Arial" w:hAnsi="Arial" w:cs="Arial" w:eastAsia="Arial"/>
      <w:b w:val="0"/>
      <w:i/>
      <w:smallCaps w:val="0"/>
      <w:strike w:val="0"/>
      <w:sz w:val="15"/>
      <w:u w:val="none"/>
    </w:rPr>
  </w:style>
  <w:style w:type="paragraph" w:customStyle="1" w:styleId="Style61">
    <w:name w:val="Heading #4|1"/>
    <w:basedOn w:val="Normal"/>
    <w:link w:val="CharStyle62"/>
    <w:pPr>
      <w:widowControl w:val="0"/>
      <w:shd w:val="clear" w:color="auto" w:fill="auto"/>
      <w:spacing w:line="290" w:lineRule="auto"/>
      <w:outlineLvl w:val="3"/>
    </w:pPr>
    <w:rPr>
      <w:rFonts w:ascii="Arial" w:hAnsi="Arial" w:cs="Arial" w:eastAsia="Arial"/>
      <w:b w:val="0"/>
      <w:i/>
      <w:smallCaps w:val="0"/>
      <w:strike w:val="0"/>
      <w:sz w:val="15"/>
      <w:u w:val="none"/>
    </w:rPr>
  </w:style>
  <w:style w:type="paragraph" w:customStyle="1" w:styleId="Style63">
    <w:name w:val="Table caption|1"/>
    <w:basedOn w:val="Normal"/>
    <w:link w:val="CharStyle64"/>
    <w:pPr>
      <w:widowControl w:val="0"/>
      <w:shd w:val="clear" w:color="auto" w:fill="auto"/>
      <w:jc w:val="right"/>
    </w:pPr>
    <w:rPr>
      <w:rFonts w:ascii="Arial" w:hAnsi="Arial" w:cs="Arial" w:eastAsia="Arial"/>
      <w:b w:val="0"/>
      <w:i/>
      <w:smallCaps w:val="0"/>
      <w:strike w:val="0"/>
      <w:sz w:val="12"/>
      <w:u w:val="none"/>
    </w:rPr>
  </w:style>
</w:styles>
</file>

<file path=word/_rels/document.xml.rels><?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image" Target="media/image3.jpeg"/><Relationship Id="rId14" Type="http://schemas.openxmlformats.org/officeDocument/2006/relationships/image" Target="media/image3.jpeg" TargetMode="External"/><Relationship Id="rId15" Type="http://schemas.openxmlformats.org/officeDocument/2006/relationships/image" Target="media/image4.png"/><Relationship Id="rId16" Type="http://schemas.openxmlformats.org/officeDocument/2006/relationships/image" Target="media/image4.png" TargetMode="External"/><Relationship Id="rId17" Type="http://schemas.openxmlformats.org/officeDocument/2006/relationships/image" Target="media/image5.png"/><Relationship Id="rId18" Type="http://schemas.openxmlformats.org/officeDocument/2006/relationships/image" Target="media/image5.png" TargetMode="External"/><Relationship Id="rId19" Type="http://schemas.openxmlformats.org/officeDocument/2006/relationships/image" Target="media/image6.jpeg"/><Relationship Id="rId20" Type="http://schemas.openxmlformats.org/officeDocument/2006/relationships/image" Target="media/image6.jpeg" TargetMode="External"/></Relationships>
</file>